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11" w:type="dxa"/>
        <w:jc w:val="center"/>
        <w:tblLook w:val="01E0" w:firstRow="1" w:lastRow="1" w:firstColumn="1" w:lastColumn="1" w:noHBand="0" w:noVBand="0"/>
      </w:tblPr>
      <w:tblGrid>
        <w:gridCol w:w="3145"/>
        <w:gridCol w:w="6266"/>
      </w:tblGrid>
      <w:tr w:rsidR="00D34F1C" w:rsidRPr="00751B9C" w:rsidTr="00E07C51">
        <w:trPr>
          <w:trHeight w:val="995"/>
          <w:jc w:val="center"/>
        </w:trPr>
        <w:tc>
          <w:tcPr>
            <w:tcW w:w="3145" w:type="dxa"/>
          </w:tcPr>
          <w:p w:rsidR="00D34F1C" w:rsidRPr="00400F6A" w:rsidRDefault="003E35EF" w:rsidP="00947EDA">
            <w:pPr>
              <w:jc w:val="center"/>
              <w:rPr>
                <w:b/>
                <w:bCs/>
                <w:sz w:val="28"/>
                <w:szCs w:val="28"/>
              </w:rPr>
            </w:pPr>
            <w:r w:rsidRPr="00400F6A">
              <w:rPr>
                <w:b/>
                <w:bCs/>
                <w:sz w:val="28"/>
                <w:szCs w:val="28"/>
              </w:rPr>
              <w:t>ỦY BAN NHÂN DÂN</w:t>
            </w:r>
          </w:p>
          <w:p w:rsidR="00D34F1C" w:rsidRDefault="00AA1AF4" w:rsidP="00947EDA">
            <w:pPr>
              <w:jc w:val="center"/>
              <w:rPr>
                <w:b/>
                <w:sz w:val="28"/>
                <w:szCs w:val="28"/>
              </w:rPr>
            </w:pPr>
            <w:r w:rsidRPr="00400F6A">
              <w:rPr>
                <w:b/>
                <w:sz w:val="28"/>
                <w:szCs w:val="28"/>
                <w:lang w:val="vi-VN"/>
              </w:rPr>
              <w:t xml:space="preserve">TỈNH </w:t>
            </w:r>
            <w:r w:rsidR="00D34F1C" w:rsidRPr="00400F6A">
              <w:rPr>
                <w:b/>
                <w:sz w:val="28"/>
                <w:szCs w:val="28"/>
              </w:rPr>
              <w:t>NINH THUẬN</w:t>
            </w:r>
          </w:p>
          <w:p w:rsidR="008D5F5E" w:rsidRPr="007F1416" w:rsidRDefault="007F1416" w:rsidP="007F1416">
            <w:pPr>
              <w:jc w:val="center"/>
              <w:rPr>
                <w:b/>
                <w:sz w:val="28"/>
                <w:szCs w:val="28"/>
              </w:rPr>
            </w:pPr>
            <w:r>
              <w:rPr>
                <w:b/>
                <w:sz w:val="28"/>
                <w:szCs w:val="28"/>
              </w:rPr>
              <w:t>–––––––––</w:t>
            </w:r>
          </w:p>
        </w:tc>
        <w:tc>
          <w:tcPr>
            <w:tcW w:w="6266" w:type="dxa"/>
          </w:tcPr>
          <w:p w:rsidR="00D34F1C" w:rsidRPr="00400F6A" w:rsidRDefault="00D34F1C" w:rsidP="007F1416">
            <w:pPr>
              <w:jc w:val="center"/>
              <w:rPr>
                <w:b/>
                <w:bCs/>
                <w:sz w:val="26"/>
                <w:szCs w:val="26"/>
                <w:lang w:val="vi-VN"/>
              </w:rPr>
            </w:pPr>
            <w:r w:rsidRPr="00400F6A">
              <w:rPr>
                <w:b/>
                <w:bCs/>
                <w:sz w:val="26"/>
                <w:szCs w:val="26"/>
                <w:lang w:val="vi-VN"/>
              </w:rPr>
              <w:t>CỘNG HÒA XÃ HỘI CHỦ NGHĨA VIỆT NAM</w:t>
            </w:r>
          </w:p>
          <w:p w:rsidR="00D34F1C" w:rsidRDefault="00D34F1C" w:rsidP="007F1416">
            <w:pPr>
              <w:jc w:val="center"/>
              <w:rPr>
                <w:b/>
                <w:bCs/>
                <w:sz w:val="28"/>
                <w:szCs w:val="28"/>
              </w:rPr>
            </w:pPr>
            <w:r w:rsidRPr="00400F6A">
              <w:rPr>
                <w:b/>
                <w:bCs/>
                <w:sz w:val="28"/>
                <w:szCs w:val="28"/>
              </w:rPr>
              <w:t>Độc lập - Tự do - Hạnh phúc</w:t>
            </w:r>
          </w:p>
          <w:p w:rsidR="00D34F1C" w:rsidRPr="007F1416" w:rsidRDefault="007F1416" w:rsidP="007F1416">
            <w:pPr>
              <w:jc w:val="center"/>
              <w:rPr>
                <w:b/>
                <w:sz w:val="28"/>
                <w:szCs w:val="28"/>
              </w:rPr>
            </w:pPr>
            <w:r>
              <w:rPr>
                <w:b/>
                <w:bCs/>
                <w:sz w:val="28"/>
                <w:szCs w:val="28"/>
              </w:rPr>
              <w:t>–––––––––––––––––––––</w:t>
            </w:r>
          </w:p>
        </w:tc>
      </w:tr>
      <w:tr w:rsidR="007F1416" w:rsidRPr="00751B9C" w:rsidTr="00E07C51">
        <w:trPr>
          <w:trHeight w:val="383"/>
          <w:jc w:val="center"/>
        </w:trPr>
        <w:tc>
          <w:tcPr>
            <w:tcW w:w="3145" w:type="dxa"/>
          </w:tcPr>
          <w:p w:rsidR="007F1416" w:rsidRPr="00400F6A" w:rsidRDefault="007F1416" w:rsidP="00947EDA">
            <w:pPr>
              <w:jc w:val="center"/>
              <w:rPr>
                <w:b/>
                <w:bCs/>
                <w:sz w:val="28"/>
                <w:szCs w:val="28"/>
              </w:rPr>
            </w:pPr>
            <w:r w:rsidRPr="00B93DA7">
              <w:rPr>
                <w:sz w:val="26"/>
                <w:szCs w:val="26"/>
              </w:rPr>
              <w:t>Số:           /UBND-TCD</w:t>
            </w:r>
          </w:p>
        </w:tc>
        <w:tc>
          <w:tcPr>
            <w:tcW w:w="6266" w:type="dxa"/>
          </w:tcPr>
          <w:p w:rsidR="007F1416" w:rsidRPr="00400F6A" w:rsidRDefault="007F1416" w:rsidP="007F1416">
            <w:pPr>
              <w:jc w:val="center"/>
              <w:rPr>
                <w:b/>
                <w:bCs/>
                <w:sz w:val="26"/>
                <w:szCs w:val="26"/>
                <w:lang w:val="vi-VN"/>
              </w:rPr>
            </w:pPr>
            <w:r w:rsidRPr="00B93DA7">
              <w:rPr>
                <w:i/>
                <w:iCs/>
                <w:sz w:val="26"/>
                <w:szCs w:val="26"/>
              </w:rPr>
              <w:t xml:space="preserve">Ninh Thuận, ngày        tháng </w:t>
            </w:r>
            <w:r>
              <w:rPr>
                <w:i/>
                <w:iCs/>
                <w:sz w:val="26"/>
                <w:szCs w:val="26"/>
              </w:rPr>
              <w:t>01</w:t>
            </w:r>
            <w:r w:rsidRPr="00B93DA7">
              <w:rPr>
                <w:i/>
                <w:iCs/>
                <w:sz w:val="26"/>
                <w:szCs w:val="26"/>
              </w:rPr>
              <w:t xml:space="preserve"> năm 202</w:t>
            </w:r>
            <w:r>
              <w:rPr>
                <w:i/>
                <w:iCs/>
                <w:sz w:val="26"/>
                <w:szCs w:val="26"/>
              </w:rPr>
              <w:t>5</w:t>
            </w:r>
          </w:p>
        </w:tc>
      </w:tr>
      <w:tr w:rsidR="007F1416" w:rsidRPr="00751B9C" w:rsidTr="00E07C51">
        <w:trPr>
          <w:trHeight w:val="383"/>
          <w:jc w:val="center"/>
        </w:trPr>
        <w:tc>
          <w:tcPr>
            <w:tcW w:w="3145" w:type="dxa"/>
          </w:tcPr>
          <w:p w:rsidR="007F1416" w:rsidRPr="00B93DA7" w:rsidRDefault="007F1416" w:rsidP="007F1416">
            <w:pPr>
              <w:jc w:val="center"/>
              <w:rPr>
                <w:sz w:val="26"/>
                <w:szCs w:val="26"/>
              </w:rPr>
            </w:pPr>
            <w:r>
              <w:rPr>
                <w:sz w:val="26"/>
                <w:szCs w:val="26"/>
              </w:rPr>
              <w:t xml:space="preserve">V/v </w:t>
            </w:r>
            <w:r w:rsidR="00E07C51">
              <w:rPr>
                <w:sz w:val="26"/>
                <w:szCs w:val="26"/>
              </w:rPr>
              <w:t xml:space="preserve">tiếp tục tăng cường công tác </w:t>
            </w:r>
            <w:r w:rsidRPr="008D5F5E">
              <w:rPr>
                <w:sz w:val="26"/>
                <w:szCs w:val="26"/>
              </w:rPr>
              <w:t>phòng, chống</w:t>
            </w:r>
            <w:r>
              <w:rPr>
                <w:sz w:val="26"/>
                <w:szCs w:val="26"/>
              </w:rPr>
              <w:t xml:space="preserve"> tội phạm và vi phạm pháp luật liên quan đến hoạt động</w:t>
            </w:r>
            <w:r w:rsidRPr="008D5F5E">
              <w:rPr>
                <w:sz w:val="26"/>
                <w:szCs w:val="26"/>
              </w:rPr>
              <w:t xml:space="preserve"> “tín dụng đen”</w:t>
            </w:r>
            <w:r>
              <w:rPr>
                <w:sz w:val="26"/>
                <w:szCs w:val="26"/>
              </w:rPr>
              <w:t>.</w:t>
            </w:r>
          </w:p>
        </w:tc>
        <w:tc>
          <w:tcPr>
            <w:tcW w:w="6266" w:type="dxa"/>
          </w:tcPr>
          <w:p w:rsidR="007F1416" w:rsidRPr="00B93DA7" w:rsidRDefault="007F1416" w:rsidP="007F1416">
            <w:pPr>
              <w:jc w:val="center"/>
              <w:rPr>
                <w:i/>
                <w:iCs/>
                <w:sz w:val="26"/>
                <w:szCs w:val="26"/>
              </w:rPr>
            </w:pPr>
          </w:p>
        </w:tc>
      </w:tr>
    </w:tbl>
    <w:p w:rsidR="00D34F1C" w:rsidRPr="00CE60F4" w:rsidRDefault="00D34F1C" w:rsidP="00D34F1C">
      <w:pPr>
        <w:jc w:val="center"/>
        <w:rPr>
          <w:b/>
          <w:szCs w:val="28"/>
        </w:rPr>
      </w:pPr>
    </w:p>
    <w:p w:rsidR="007F1416" w:rsidRPr="00CE60F4" w:rsidRDefault="007F1416" w:rsidP="00D34F1C">
      <w:pPr>
        <w:jc w:val="cente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670"/>
      </w:tblGrid>
      <w:tr w:rsidR="007F1416" w:rsidTr="00CE60F4">
        <w:tc>
          <w:tcPr>
            <w:tcW w:w="3794" w:type="dxa"/>
            <w:vAlign w:val="center"/>
          </w:tcPr>
          <w:p w:rsidR="007F1416" w:rsidRDefault="007F1416" w:rsidP="00CE60F4">
            <w:pPr>
              <w:jc w:val="right"/>
              <w:rPr>
                <w:b/>
                <w:sz w:val="36"/>
                <w:szCs w:val="28"/>
              </w:rPr>
            </w:pPr>
            <w:r w:rsidRPr="008D5F5E">
              <w:rPr>
                <w:sz w:val="28"/>
                <w:szCs w:val="28"/>
                <w:lang w:val="vi-VN"/>
              </w:rPr>
              <w:t>Kính gửi:</w:t>
            </w:r>
          </w:p>
        </w:tc>
        <w:tc>
          <w:tcPr>
            <w:tcW w:w="5670" w:type="dxa"/>
            <w:vAlign w:val="center"/>
          </w:tcPr>
          <w:p w:rsidR="007F1416" w:rsidRDefault="007F1416" w:rsidP="00CE60F4">
            <w:pPr>
              <w:jc w:val="both"/>
              <w:rPr>
                <w:b/>
                <w:sz w:val="36"/>
                <w:szCs w:val="28"/>
              </w:rPr>
            </w:pPr>
          </w:p>
        </w:tc>
      </w:tr>
      <w:tr w:rsidR="007F1416" w:rsidTr="00CE60F4">
        <w:tc>
          <w:tcPr>
            <w:tcW w:w="3794" w:type="dxa"/>
            <w:vAlign w:val="center"/>
          </w:tcPr>
          <w:p w:rsidR="007F1416" w:rsidRDefault="007F1416" w:rsidP="00CE60F4">
            <w:pPr>
              <w:jc w:val="both"/>
              <w:rPr>
                <w:b/>
                <w:sz w:val="36"/>
                <w:szCs w:val="28"/>
              </w:rPr>
            </w:pPr>
          </w:p>
        </w:tc>
        <w:tc>
          <w:tcPr>
            <w:tcW w:w="5670" w:type="dxa"/>
            <w:vAlign w:val="center"/>
          </w:tcPr>
          <w:p w:rsidR="007F1416" w:rsidRDefault="00E07C51" w:rsidP="00CE60F4">
            <w:pPr>
              <w:jc w:val="both"/>
              <w:rPr>
                <w:b/>
                <w:sz w:val="36"/>
                <w:szCs w:val="28"/>
              </w:rPr>
            </w:pPr>
            <w:r>
              <w:rPr>
                <w:sz w:val="28"/>
                <w:szCs w:val="28"/>
              </w:rPr>
              <w:t>- Công an tỉnh;</w:t>
            </w:r>
          </w:p>
        </w:tc>
      </w:tr>
      <w:tr w:rsidR="00E07C51" w:rsidTr="00CE60F4">
        <w:tc>
          <w:tcPr>
            <w:tcW w:w="3794" w:type="dxa"/>
            <w:vAlign w:val="center"/>
          </w:tcPr>
          <w:p w:rsidR="00E07C51" w:rsidRDefault="00E07C51" w:rsidP="00CE60F4">
            <w:pPr>
              <w:jc w:val="both"/>
              <w:rPr>
                <w:b/>
                <w:sz w:val="36"/>
                <w:szCs w:val="28"/>
              </w:rPr>
            </w:pPr>
          </w:p>
        </w:tc>
        <w:tc>
          <w:tcPr>
            <w:tcW w:w="5670" w:type="dxa"/>
            <w:vAlign w:val="center"/>
          </w:tcPr>
          <w:p w:rsidR="00E07C51" w:rsidRDefault="00E07C51" w:rsidP="00CE60F4">
            <w:pPr>
              <w:jc w:val="both"/>
              <w:rPr>
                <w:sz w:val="28"/>
                <w:szCs w:val="28"/>
              </w:rPr>
            </w:pPr>
            <w:r>
              <w:rPr>
                <w:sz w:val="28"/>
                <w:szCs w:val="28"/>
              </w:rPr>
              <w:t>- Mặt trận tổ quốc và các Tổ chức CT-XH tỉnh;</w:t>
            </w:r>
          </w:p>
        </w:tc>
      </w:tr>
      <w:tr w:rsidR="007F1416" w:rsidTr="00CE60F4">
        <w:tc>
          <w:tcPr>
            <w:tcW w:w="3794" w:type="dxa"/>
            <w:vAlign w:val="center"/>
          </w:tcPr>
          <w:p w:rsidR="007F1416" w:rsidRDefault="007F1416" w:rsidP="00CE60F4">
            <w:pPr>
              <w:jc w:val="both"/>
              <w:rPr>
                <w:b/>
                <w:sz w:val="36"/>
                <w:szCs w:val="28"/>
              </w:rPr>
            </w:pPr>
          </w:p>
        </w:tc>
        <w:tc>
          <w:tcPr>
            <w:tcW w:w="5670" w:type="dxa"/>
            <w:vAlign w:val="center"/>
          </w:tcPr>
          <w:p w:rsidR="007F1416" w:rsidRDefault="00E07C51" w:rsidP="00CE60F4">
            <w:pPr>
              <w:jc w:val="both"/>
              <w:rPr>
                <w:b/>
                <w:sz w:val="36"/>
                <w:szCs w:val="28"/>
              </w:rPr>
            </w:pPr>
            <w:r>
              <w:rPr>
                <w:sz w:val="28"/>
                <w:szCs w:val="28"/>
              </w:rPr>
              <w:t>- Viện kiểm sát nhân dân tỉnh;</w:t>
            </w:r>
          </w:p>
        </w:tc>
      </w:tr>
      <w:tr w:rsidR="00E07C51" w:rsidTr="00CE60F4">
        <w:tc>
          <w:tcPr>
            <w:tcW w:w="3794" w:type="dxa"/>
            <w:vAlign w:val="center"/>
          </w:tcPr>
          <w:p w:rsidR="00E07C51" w:rsidRDefault="00E07C51" w:rsidP="00CE60F4">
            <w:pPr>
              <w:jc w:val="both"/>
              <w:rPr>
                <w:b/>
                <w:sz w:val="36"/>
                <w:szCs w:val="28"/>
              </w:rPr>
            </w:pPr>
          </w:p>
        </w:tc>
        <w:tc>
          <w:tcPr>
            <w:tcW w:w="5670" w:type="dxa"/>
            <w:vAlign w:val="center"/>
          </w:tcPr>
          <w:p w:rsidR="00E07C51" w:rsidRDefault="00E07C51" w:rsidP="00CE60F4">
            <w:pPr>
              <w:jc w:val="both"/>
              <w:rPr>
                <w:sz w:val="28"/>
                <w:szCs w:val="28"/>
              </w:rPr>
            </w:pPr>
            <w:r>
              <w:rPr>
                <w:sz w:val="28"/>
                <w:szCs w:val="28"/>
              </w:rPr>
              <w:t xml:space="preserve">- </w:t>
            </w:r>
            <w:proofErr w:type="spellStart"/>
            <w:r>
              <w:rPr>
                <w:sz w:val="28"/>
                <w:szCs w:val="28"/>
              </w:rPr>
              <w:t>Tòa</w:t>
            </w:r>
            <w:proofErr w:type="spellEnd"/>
            <w:r>
              <w:rPr>
                <w:sz w:val="28"/>
                <w:szCs w:val="28"/>
              </w:rPr>
              <w:t xml:space="preserve"> án nhân dân tỉnh;</w:t>
            </w:r>
          </w:p>
        </w:tc>
      </w:tr>
      <w:tr w:rsidR="00E07C51" w:rsidTr="00CE60F4">
        <w:tc>
          <w:tcPr>
            <w:tcW w:w="3794" w:type="dxa"/>
            <w:vAlign w:val="center"/>
          </w:tcPr>
          <w:p w:rsidR="00E07C51" w:rsidRDefault="00E07C51" w:rsidP="00CE60F4">
            <w:pPr>
              <w:jc w:val="both"/>
              <w:rPr>
                <w:b/>
                <w:sz w:val="36"/>
                <w:szCs w:val="28"/>
              </w:rPr>
            </w:pPr>
          </w:p>
        </w:tc>
        <w:tc>
          <w:tcPr>
            <w:tcW w:w="5670" w:type="dxa"/>
            <w:vAlign w:val="center"/>
          </w:tcPr>
          <w:p w:rsidR="00E07C51" w:rsidRPr="00E07C51" w:rsidRDefault="00E07C51" w:rsidP="00CE60F4">
            <w:pPr>
              <w:jc w:val="both"/>
              <w:rPr>
                <w:sz w:val="28"/>
                <w:szCs w:val="28"/>
              </w:rPr>
            </w:pPr>
            <w:r>
              <w:rPr>
                <w:sz w:val="28"/>
                <w:szCs w:val="28"/>
                <w:lang w:val="vi-VN"/>
              </w:rPr>
              <w:t xml:space="preserve">- </w:t>
            </w:r>
            <w:r w:rsidRPr="00BA7CF5">
              <w:rPr>
                <w:sz w:val="28"/>
                <w:szCs w:val="28"/>
                <w:lang w:val="vi-VN"/>
              </w:rPr>
              <w:t>Các Sở, ban, n</w:t>
            </w:r>
            <w:bookmarkStart w:id="0" w:name="_GoBack"/>
            <w:bookmarkEnd w:id="0"/>
            <w:r w:rsidRPr="00BA7CF5">
              <w:rPr>
                <w:sz w:val="28"/>
                <w:szCs w:val="28"/>
                <w:lang w:val="vi-VN"/>
              </w:rPr>
              <w:t>gành</w:t>
            </w:r>
            <w:r>
              <w:rPr>
                <w:sz w:val="28"/>
                <w:szCs w:val="28"/>
              </w:rPr>
              <w:t xml:space="preserve"> cấp tỉnh;</w:t>
            </w:r>
          </w:p>
        </w:tc>
      </w:tr>
      <w:tr w:rsidR="00E07C51" w:rsidTr="00CE60F4">
        <w:tc>
          <w:tcPr>
            <w:tcW w:w="3794" w:type="dxa"/>
            <w:vAlign w:val="center"/>
          </w:tcPr>
          <w:p w:rsidR="00E07C51" w:rsidRDefault="00E07C51" w:rsidP="00CE60F4">
            <w:pPr>
              <w:jc w:val="both"/>
              <w:rPr>
                <w:b/>
                <w:sz w:val="36"/>
                <w:szCs w:val="28"/>
              </w:rPr>
            </w:pPr>
          </w:p>
        </w:tc>
        <w:tc>
          <w:tcPr>
            <w:tcW w:w="5670" w:type="dxa"/>
            <w:vAlign w:val="center"/>
          </w:tcPr>
          <w:p w:rsidR="00E07C51" w:rsidRPr="00E07C51" w:rsidRDefault="00E07C51" w:rsidP="00CE60F4">
            <w:pPr>
              <w:jc w:val="both"/>
              <w:rPr>
                <w:sz w:val="28"/>
                <w:szCs w:val="28"/>
              </w:rPr>
            </w:pPr>
            <w:r>
              <w:rPr>
                <w:sz w:val="28"/>
                <w:szCs w:val="28"/>
                <w:lang w:val="vi-VN"/>
              </w:rPr>
              <w:t xml:space="preserve">- </w:t>
            </w:r>
            <w:r w:rsidRPr="00BA7CF5">
              <w:rPr>
                <w:sz w:val="28"/>
                <w:szCs w:val="28"/>
                <w:lang w:val="vi-VN"/>
              </w:rPr>
              <w:t>Ủy ban nhân dân</w:t>
            </w:r>
            <w:r>
              <w:rPr>
                <w:sz w:val="28"/>
                <w:szCs w:val="28"/>
                <w:lang w:val="vi-VN"/>
              </w:rPr>
              <w:t xml:space="preserve"> các huyện, thành phố.</w:t>
            </w:r>
          </w:p>
        </w:tc>
      </w:tr>
    </w:tbl>
    <w:p w:rsidR="007F1416" w:rsidRDefault="007F1416" w:rsidP="00D34F1C">
      <w:pPr>
        <w:jc w:val="center"/>
        <w:rPr>
          <w:b/>
          <w:sz w:val="36"/>
          <w:szCs w:val="28"/>
        </w:rPr>
      </w:pPr>
    </w:p>
    <w:p w:rsidR="007F1416" w:rsidRPr="007F1416" w:rsidRDefault="00A47DBB" w:rsidP="007F1416">
      <w:pPr>
        <w:spacing w:before="120"/>
        <w:ind w:firstLine="851"/>
        <w:contextualSpacing/>
        <w:jc w:val="both"/>
        <w:rPr>
          <w:iCs/>
          <w:color w:val="000000"/>
          <w:sz w:val="28"/>
          <w:szCs w:val="28"/>
        </w:rPr>
      </w:pPr>
      <w:r w:rsidRPr="007F1416">
        <w:rPr>
          <w:sz w:val="28"/>
          <w:szCs w:val="28"/>
        </w:rPr>
        <w:t>Qua 5</w:t>
      </w:r>
      <w:r w:rsidRPr="007F1416">
        <w:rPr>
          <w:sz w:val="28"/>
          <w:szCs w:val="28"/>
          <w:lang w:val="vi-VN"/>
        </w:rPr>
        <w:t xml:space="preserve"> năm </w:t>
      </w:r>
      <w:r w:rsidR="00E07C51">
        <w:rPr>
          <w:sz w:val="28"/>
          <w:szCs w:val="28"/>
        </w:rPr>
        <w:t xml:space="preserve">triển khai </w:t>
      </w:r>
      <w:r w:rsidRPr="007F1416">
        <w:rPr>
          <w:sz w:val="28"/>
          <w:szCs w:val="28"/>
          <w:lang w:val="vi-VN"/>
        </w:rPr>
        <w:t>thực hiện Chỉ thị số 12/CT-TTg ngày 25/4/2019 của Thủ tướng Chính phủ về tăng cường phòng ngừa, đấu tranh với</w:t>
      </w:r>
      <w:r w:rsidR="00CD17BF" w:rsidRPr="007F1416">
        <w:rPr>
          <w:sz w:val="28"/>
          <w:szCs w:val="28"/>
        </w:rPr>
        <w:t xml:space="preserve"> tội phạm và vi phạm pháp luật</w:t>
      </w:r>
      <w:r w:rsidRPr="007F1416">
        <w:rPr>
          <w:sz w:val="28"/>
          <w:szCs w:val="28"/>
          <w:lang w:val="vi-VN"/>
        </w:rPr>
        <w:t xml:space="preserve"> </w:t>
      </w:r>
      <w:r w:rsidR="00FC354A" w:rsidRPr="00E07C51">
        <w:rPr>
          <w:i/>
          <w:sz w:val="28"/>
          <w:szCs w:val="28"/>
        </w:rPr>
        <w:t>(TP&amp;VPPL)</w:t>
      </w:r>
      <w:r w:rsidR="00FC354A" w:rsidRPr="007F1416">
        <w:rPr>
          <w:sz w:val="28"/>
          <w:szCs w:val="28"/>
          <w:lang w:val="vi-VN"/>
        </w:rPr>
        <w:t xml:space="preserve"> </w:t>
      </w:r>
      <w:r w:rsidRPr="007F1416">
        <w:rPr>
          <w:sz w:val="28"/>
          <w:szCs w:val="28"/>
          <w:lang w:val="vi-VN"/>
        </w:rPr>
        <w:t>liên quan đến hoạt động “tín dụng đen”</w:t>
      </w:r>
      <w:r w:rsidRPr="007F1416">
        <w:rPr>
          <w:sz w:val="28"/>
          <w:szCs w:val="28"/>
        </w:rPr>
        <w:t xml:space="preserve"> </w:t>
      </w:r>
      <w:r w:rsidRPr="007F1416">
        <w:rPr>
          <w:i/>
          <w:sz w:val="28"/>
          <w:szCs w:val="28"/>
        </w:rPr>
        <w:t>(viết tắt là Chỉ thị số 12/CT-</w:t>
      </w:r>
      <w:proofErr w:type="spellStart"/>
      <w:r w:rsidRPr="007F1416">
        <w:rPr>
          <w:i/>
          <w:sz w:val="28"/>
          <w:szCs w:val="28"/>
        </w:rPr>
        <w:t>TTg</w:t>
      </w:r>
      <w:proofErr w:type="spellEnd"/>
      <w:r w:rsidRPr="007F1416">
        <w:rPr>
          <w:i/>
          <w:sz w:val="28"/>
          <w:szCs w:val="28"/>
        </w:rPr>
        <w:t>)</w:t>
      </w:r>
      <w:r w:rsidR="00C00B22" w:rsidRPr="007F1416">
        <w:rPr>
          <w:sz w:val="28"/>
          <w:szCs w:val="28"/>
          <w:lang w:val="vi-VN"/>
        </w:rPr>
        <w:t xml:space="preserve">, </w:t>
      </w:r>
      <w:r w:rsidR="00E07C51">
        <w:rPr>
          <w:sz w:val="28"/>
          <w:szCs w:val="28"/>
        </w:rPr>
        <w:t>t</w:t>
      </w:r>
      <w:r w:rsidR="00C00B22" w:rsidRPr="007F1416">
        <w:rPr>
          <w:sz w:val="28"/>
          <w:szCs w:val="28"/>
          <w:lang w:val="vi-VN"/>
        </w:rPr>
        <w:t>ì</w:t>
      </w:r>
      <w:r w:rsidR="0073698F" w:rsidRPr="007F1416">
        <w:rPr>
          <w:sz w:val="28"/>
          <w:szCs w:val="28"/>
          <w:lang w:val="vi-VN"/>
        </w:rPr>
        <w:t>nh trạng treo biển, dán tờ rơi</w:t>
      </w:r>
      <w:r w:rsidR="00C00B22" w:rsidRPr="007F1416">
        <w:rPr>
          <w:sz w:val="28"/>
          <w:szCs w:val="28"/>
          <w:lang w:val="vi-VN"/>
        </w:rPr>
        <w:t>, thành lập Công ty núp bóng doanh nghiệp để cho vay đã giảm đáng kể; hoạt động cho vay lãi nặng, sử dụng các đối tượng</w:t>
      </w:r>
      <w:r w:rsidR="00522648" w:rsidRPr="007F1416">
        <w:rPr>
          <w:sz w:val="28"/>
          <w:szCs w:val="28"/>
          <w:lang w:val="vi-VN"/>
        </w:rPr>
        <w:t xml:space="preserve"> hình sự có tiền án, tiền sự </w:t>
      </w:r>
      <w:r w:rsidR="00C00B22" w:rsidRPr="007F1416">
        <w:rPr>
          <w:sz w:val="28"/>
          <w:szCs w:val="28"/>
          <w:lang w:val="vi-VN"/>
        </w:rPr>
        <w:t xml:space="preserve">để siết nợ, đòi nợ không còn công khai, manh động như trước; nhiều đối tượng băng nhóm tội phạm hoạt động “tín dụng đen” bị triệt phá, </w:t>
      </w:r>
      <w:r w:rsidR="0073698F" w:rsidRPr="007F1416">
        <w:rPr>
          <w:sz w:val="28"/>
          <w:szCs w:val="28"/>
        </w:rPr>
        <w:t>các vụ</w:t>
      </w:r>
      <w:r w:rsidR="00FE102B" w:rsidRPr="007F1416">
        <w:rPr>
          <w:sz w:val="28"/>
          <w:szCs w:val="28"/>
          <w:lang w:val="vi-VN"/>
        </w:rPr>
        <w:t xml:space="preserve"> án c</w:t>
      </w:r>
      <w:r w:rsidR="00C00B22" w:rsidRPr="007F1416">
        <w:rPr>
          <w:sz w:val="28"/>
          <w:szCs w:val="28"/>
          <w:lang w:val="vi-VN"/>
        </w:rPr>
        <w:t>ho vay lãi nặng trong giao dịch dân sự đã được khở</w:t>
      </w:r>
      <w:r w:rsidR="00EB022C" w:rsidRPr="007F1416">
        <w:rPr>
          <w:sz w:val="28"/>
          <w:szCs w:val="28"/>
          <w:lang w:val="vi-VN"/>
        </w:rPr>
        <w:t>i tố, điều tra, truy tố, xét x</w:t>
      </w:r>
      <w:r w:rsidR="00EB022C" w:rsidRPr="007F1416">
        <w:rPr>
          <w:sz w:val="28"/>
          <w:szCs w:val="28"/>
        </w:rPr>
        <w:t>ử</w:t>
      </w:r>
      <w:r w:rsidR="00EB022C" w:rsidRPr="007F1416">
        <w:rPr>
          <w:sz w:val="28"/>
          <w:szCs w:val="28"/>
          <w:lang w:val="vi-VN"/>
        </w:rPr>
        <w:t xml:space="preserve"> </w:t>
      </w:r>
      <w:r w:rsidR="00EB022C" w:rsidRPr="007F1416">
        <w:rPr>
          <w:sz w:val="28"/>
          <w:szCs w:val="28"/>
        </w:rPr>
        <w:t>theo quy định pháp luật</w:t>
      </w:r>
      <w:r w:rsidR="00105A9D" w:rsidRPr="007F1416">
        <w:rPr>
          <w:rStyle w:val="FootnoteReference"/>
          <w:sz w:val="28"/>
          <w:szCs w:val="28"/>
        </w:rPr>
        <w:footnoteReference w:id="1"/>
      </w:r>
      <w:r w:rsidR="00553AAA" w:rsidRPr="007F1416">
        <w:rPr>
          <w:sz w:val="28"/>
          <w:szCs w:val="28"/>
        </w:rPr>
        <w:t>.</w:t>
      </w:r>
      <w:r w:rsidR="00147AD2" w:rsidRPr="007F1416">
        <w:rPr>
          <w:sz w:val="28"/>
          <w:szCs w:val="28"/>
        </w:rPr>
        <w:t xml:space="preserve"> </w:t>
      </w:r>
      <w:r w:rsidRPr="007F1416">
        <w:rPr>
          <w:sz w:val="28"/>
          <w:szCs w:val="28"/>
          <w:lang w:val="vi-VN"/>
        </w:rPr>
        <w:t>T</w:t>
      </w:r>
      <w:r w:rsidR="00451A14" w:rsidRPr="007F1416">
        <w:rPr>
          <w:sz w:val="28"/>
          <w:szCs w:val="28"/>
          <w:lang w:val="vi-VN"/>
        </w:rPr>
        <w:t xml:space="preserve">uy nhiên, </w:t>
      </w:r>
      <w:r w:rsidR="00147AD2" w:rsidRPr="007F1416">
        <w:rPr>
          <w:sz w:val="28"/>
          <w:szCs w:val="28"/>
        </w:rPr>
        <w:t>t</w:t>
      </w:r>
      <w:r w:rsidR="007E10E0" w:rsidRPr="007F1416">
        <w:rPr>
          <w:sz w:val="28"/>
          <w:szCs w:val="28"/>
        </w:rPr>
        <w:t>hời gian gần đây trên địa bàn tỉnh</w:t>
      </w:r>
      <w:r w:rsidR="003A2D96" w:rsidRPr="007F1416">
        <w:rPr>
          <w:sz w:val="28"/>
          <w:szCs w:val="28"/>
        </w:rPr>
        <w:t xml:space="preserve"> </w:t>
      </w:r>
      <w:r w:rsidR="007918A9" w:rsidRPr="007F1416">
        <w:rPr>
          <w:sz w:val="28"/>
          <w:szCs w:val="28"/>
        </w:rPr>
        <w:t>phát hiện các đối tượng s</w:t>
      </w:r>
      <w:r w:rsidR="007918A9" w:rsidRPr="007F1416">
        <w:rPr>
          <w:color w:val="000000"/>
          <w:sz w:val="28"/>
          <w:szCs w:val="28"/>
        </w:rPr>
        <w:t>ử dụng</w:t>
      </w:r>
      <w:r w:rsidR="00313639" w:rsidRPr="007F1416">
        <w:rPr>
          <w:color w:val="000000"/>
          <w:sz w:val="28"/>
          <w:szCs w:val="28"/>
        </w:rPr>
        <w:t xml:space="preserve"> một số thủ đoạn mới</w:t>
      </w:r>
      <w:r w:rsidR="00224ACE" w:rsidRPr="007F1416">
        <w:rPr>
          <w:rStyle w:val="FootnoteReference"/>
          <w:color w:val="000000"/>
          <w:sz w:val="28"/>
          <w:szCs w:val="28"/>
        </w:rPr>
        <w:footnoteReference w:id="2"/>
      </w:r>
      <w:r w:rsidR="007918A9" w:rsidRPr="007F1416">
        <w:rPr>
          <w:color w:val="000000"/>
          <w:sz w:val="28"/>
          <w:szCs w:val="28"/>
        </w:rPr>
        <w:t xml:space="preserve"> </w:t>
      </w:r>
      <w:r w:rsidR="00224ACE" w:rsidRPr="007F1416">
        <w:rPr>
          <w:color w:val="000000"/>
          <w:sz w:val="28"/>
          <w:szCs w:val="28"/>
        </w:rPr>
        <w:t>để hoạt động “tín dụng đen”, đang</w:t>
      </w:r>
      <w:r w:rsidR="007918A9" w:rsidRPr="007F1416">
        <w:rPr>
          <w:color w:val="000000"/>
          <w:sz w:val="28"/>
          <w:szCs w:val="28"/>
        </w:rPr>
        <w:t xml:space="preserve"> tiềm ẩn nhiều yếu tố phức tạp liên quan đến</w:t>
      </w:r>
      <w:r w:rsidR="00D32027" w:rsidRPr="007F1416">
        <w:rPr>
          <w:color w:val="000000"/>
          <w:sz w:val="28"/>
          <w:szCs w:val="28"/>
        </w:rPr>
        <w:t xml:space="preserve"> an ninh trật tự</w:t>
      </w:r>
      <w:r w:rsidR="00070B95" w:rsidRPr="007F1416">
        <w:rPr>
          <w:color w:val="000000"/>
          <w:sz w:val="28"/>
          <w:szCs w:val="28"/>
        </w:rPr>
        <w:t xml:space="preserve"> </w:t>
      </w:r>
      <w:r w:rsidR="00070B95" w:rsidRPr="00E07C51">
        <w:rPr>
          <w:i/>
          <w:color w:val="000000"/>
          <w:sz w:val="28"/>
          <w:szCs w:val="28"/>
        </w:rPr>
        <w:t>(ANTT)</w:t>
      </w:r>
      <w:r w:rsidR="00C86322" w:rsidRPr="007F1416">
        <w:rPr>
          <w:iCs/>
          <w:color w:val="000000"/>
          <w:sz w:val="28"/>
          <w:szCs w:val="28"/>
        </w:rPr>
        <w:t>.</w:t>
      </w:r>
    </w:p>
    <w:p w:rsidR="00AF2023" w:rsidRPr="007F1416" w:rsidRDefault="00A47DBB" w:rsidP="007F1416">
      <w:pPr>
        <w:spacing w:before="120"/>
        <w:ind w:firstLine="851"/>
        <w:jc w:val="both"/>
        <w:rPr>
          <w:sz w:val="28"/>
          <w:szCs w:val="28"/>
        </w:rPr>
      </w:pPr>
      <w:r w:rsidRPr="007F1416">
        <w:rPr>
          <w:sz w:val="28"/>
          <w:szCs w:val="28"/>
          <w:lang w:val="vi-VN"/>
        </w:rPr>
        <w:t xml:space="preserve">Để tiếp tục chủ động phòng ngừa, đấu tranh với </w:t>
      </w:r>
      <w:r w:rsidR="00D0684C" w:rsidRPr="007F1416">
        <w:rPr>
          <w:sz w:val="28"/>
          <w:szCs w:val="28"/>
        </w:rPr>
        <w:t>TP &amp; VPPL</w:t>
      </w:r>
      <w:r w:rsidRPr="007F1416">
        <w:rPr>
          <w:sz w:val="28"/>
          <w:szCs w:val="28"/>
          <w:lang w:val="vi-VN"/>
        </w:rPr>
        <w:t xml:space="preserve"> liên quan</w:t>
      </w:r>
      <w:r w:rsidR="00932193" w:rsidRPr="007F1416">
        <w:rPr>
          <w:sz w:val="28"/>
          <w:szCs w:val="28"/>
          <w:lang w:val="vi-VN"/>
        </w:rPr>
        <w:t xml:space="preserve"> đến hoạt động “tín dụng đen”</w:t>
      </w:r>
      <w:r w:rsidR="00E07C51">
        <w:rPr>
          <w:sz w:val="28"/>
          <w:szCs w:val="28"/>
        </w:rPr>
        <w:t xml:space="preserve"> theo </w:t>
      </w:r>
      <w:r w:rsidRPr="007F1416">
        <w:rPr>
          <w:sz w:val="28"/>
          <w:szCs w:val="28"/>
          <w:lang w:val="vi-VN"/>
        </w:rPr>
        <w:t xml:space="preserve">chỉ đạo của Phó Thủ tướng Thường trực Chính phủ </w:t>
      </w:r>
      <w:proofErr w:type="spellStart"/>
      <w:r w:rsidR="001B53F9" w:rsidRPr="007F1416">
        <w:rPr>
          <w:sz w:val="28"/>
          <w:szCs w:val="28"/>
        </w:rPr>
        <w:t>Nguyễn</w:t>
      </w:r>
      <w:proofErr w:type="spellEnd"/>
      <w:r w:rsidR="001B53F9" w:rsidRPr="007F1416">
        <w:rPr>
          <w:sz w:val="28"/>
          <w:szCs w:val="28"/>
        </w:rPr>
        <w:t xml:space="preserve"> Hòa Bình</w:t>
      </w:r>
      <w:r w:rsidRPr="007F1416">
        <w:rPr>
          <w:sz w:val="28"/>
          <w:szCs w:val="28"/>
          <w:lang w:val="vi-VN"/>
        </w:rPr>
        <w:t xml:space="preserve"> tại </w:t>
      </w:r>
      <w:r w:rsidR="001B53F9" w:rsidRPr="007F1416">
        <w:rPr>
          <w:sz w:val="28"/>
          <w:szCs w:val="28"/>
        </w:rPr>
        <w:t xml:space="preserve">Công </w:t>
      </w:r>
      <w:r w:rsidRPr="007F1416">
        <w:rPr>
          <w:sz w:val="28"/>
          <w:szCs w:val="28"/>
          <w:lang w:val="vi-VN"/>
        </w:rPr>
        <w:t xml:space="preserve">văn số </w:t>
      </w:r>
      <w:r w:rsidR="006721C6" w:rsidRPr="007F1416">
        <w:rPr>
          <w:sz w:val="28"/>
          <w:szCs w:val="28"/>
        </w:rPr>
        <w:t>4832</w:t>
      </w:r>
      <w:r w:rsidRPr="007F1416">
        <w:rPr>
          <w:sz w:val="28"/>
          <w:szCs w:val="28"/>
          <w:lang w:val="vi-VN"/>
        </w:rPr>
        <w:t xml:space="preserve">/VPCP-NC ngày </w:t>
      </w:r>
      <w:r w:rsidR="006721C6" w:rsidRPr="007F1416">
        <w:rPr>
          <w:sz w:val="28"/>
          <w:szCs w:val="28"/>
        </w:rPr>
        <w:t>26/11/2024</w:t>
      </w:r>
      <w:r w:rsidR="00E07C51">
        <w:rPr>
          <w:sz w:val="28"/>
          <w:szCs w:val="28"/>
        </w:rPr>
        <w:t>,</w:t>
      </w:r>
      <w:r w:rsidRPr="007F1416">
        <w:rPr>
          <w:sz w:val="28"/>
          <w:szCs w:val="28"/>
          <w:lang w:val="vi-VN"/>
        </w:rPr>
        <w:t xml:space="preserve"> </w:t>
      </w:r>
      <w:r w:rsidR="00C37713" w:rsidRPr="007F1416">
        <w:rPr>
          <w:sz w:val="28"/>
          <w:szCs w:val="28"/>
          <w:lang w:val="vi-VN"/>
        </w:rPr>
        <w:t>Chủ tịch Ủy ban nhân dân</w:t>
      </w:r>
      <w:r w:rsidR="006721C6" w:rsidRPr="007F1416">
        <w:rPr>
          <w:sz w:val="28"/>
          <w:szCs w:val="28"/>
        </w:rPr>
        <w:t xml:space="preserve"> tỉnh</w:t>
      </w:r>
      <w:r w:rsidRPr="007F1416">
        <w:rPr>
          <w:sz w:val="28"/>
          <w:szCs w:val="28"/>
          <w:lang w:val="vi-VN"/>
        </w:rPr>
        <w:t xml:space="preserve"> </w:t>
      </w:r>
      <w:r w:rsidR="00E07C51">
        <w:rPr>
          <w:sz w:val="28"/>
          <w:szCs w:val="28"/>
        </w:rPr>
        <w:t>đề nghị các cơ quan, đơn vị nêu trên căn cứ chức năng, nhiệm vụ được giao tập trung</w:t>
      </w:r>
      <w:r w:rsidRPr="007F1416">
        <w:rPr>
          <w:sz w:val="28"/>
          <w:szCs w:val="28"/>
          <w:lang w:val="vi-VN"/>
        </w:rPr>
        <w:t xml:space="preserve"> thực hiện một số </w:t>
      </w:r>
      <w:r w:rsidR="00E07C51">
        <w:rPr>
          <w:sz w:val="28"/>
          <w:szCs w:val="28"/>
        </w:rPr>
        <w:t>nội dung</w:t>
      </w:r>
      <w:r w:rsidRPr="007F1416">
        <w:rPr>
          <w:sz w:val="28"/>
          <w:szCs w:val="28"/>
          <w:lang w:val="vi-VN"/>
        </w:rPr>
        <w:t xml:space="preserve"> trọng tâm sau:</w:t>
      </w:r>
    </w:p>
    <w:p w:rsidR="00AF2023" w:rsidRPr="007F1416" w:rsidRDefault="002308F0" w:rsidP="007F1416">
      <w:pPr>
        <w:spacing w:before="120"/>
        <w:ind w:firstLine="851"/>
        <w:jc w:val="both"/>
        <w:rPr>
          <w:color w:val="000000"/>
          <w:spacing w:val="-2"/>
          <w:sz w:val="28"/>
          <w:szCs w:val="28"/>
        </w:rPr>
      </w:pPr>
      <w:r w:rsidRPr="007F1416">
        <w:rPr>
          <w:b/>
          <w:sz w:val="28"/>
          <w:szCs w:val="28"/>
          <w:lang w:val="vi-VN"/>
        </w:rPr>
        <w:lastRenderedPageBreak/>
        <w:t>1.</w:t>
      </w:r>
      <w:r w:rsidR="006D1F29" w:rsidRPr="007F1416">
        <w:rPr>
          <w:sz w:val="28"/>
          <w:szCs w:val="28"/>
          <w:lang w:val="vi-VN"/>
        </w:rPr>
        <w:t xml:space="preserve"> </w:t>
      </w:r>
      <w:r w:rsidR="00676E99" w:rsidRPr="007F1416">
        <w:rPr>
          <w:color w:val="000000"/>
          <w:sz w:val="28"/>
          <w:szCs w:val="28"/>
          <w:lang w:val="vi-VN"/>
        </w:rPr>
        <w:t xml:space="preserve">Tiếp tục triển khai thực hiện </w:t>
      </w:r>
      <w:r w:rsidR="002347D0" w:rsidRPr="007F1416">
        <w:rPr>
          <w:color w:val="000000"/>
          <w:sz w:val="28"/>
          <w:szCs w:val="28"/>
        </w:rPr>
        <w:t>nghiêm túc</w:t>
      </w:r>
      <w:r w:rsidR="00676E99" w:rsidRPr="007F1416">
        <w:rPr>
          <w:color w:val="000000"/>
          <w:sz w:val="28"/>
          <w:szCs w:val="28"/>
          <w:lang w:val="vi-VN"/>
        </w:rPr>
        <w:t xml:space="preserve"> Kế hoạch số 2467/KH-UBND ngày 13/6/2019 của Ủy ban nhân dân tỉnh về thực hiện Chỉ thị số 12/CT-TTg trên địa bàn tỉnh</w:t>
      </w:r>
      <w:r w:rsidR="00676E99" w:rsidRPr="007F1416">
        <w:rPr>
          <w:color w:val="000000"/>
          <w:spacing w:val="-2"/>
          <w:sz w:val="28"/>
          <w:szCs w:val="28"/>
          <w:lang w:val="vi-VN"/>
        </w:rPr>
        <w:t xml:space="preserve">; gắn với việc thực hiện </w:t>
      </w:r>
      <w:r w:rsidR="008C738B" w:rsidRPr="007F1416">
        <w:rPr>
          <w:spacing w:val="-2"/>
          <w:sz w:val="28"/>
          <w:szCs w:val="28"/>
        </w:rPr>
        <w:t>Kết luận số 13-KL/TW ngày 16/8/2021 của Bộ Chính trị về tiếp tục thực hiện</w:t>
      </w:r>
      <w:r w:rsidR="008C738B" w:rsidRPr="007F1416">
        <w:rPr>
          <w:spacing w:val="-2"/>
          <w:sz w:val="28"/>
          <w:szCs w:val="28"/>
          <w:lang w:val="vi-VN"/>
        </w:rPr>
        <w:t xml:space="preserve"> </w:t>
      </w:r>
      <w:r w:rsidR="008C738B" w:rsidRPr="007F1416">
        <w:rPr>
          <w:sz w:val="28"/>
          <w:szCs w:val="28"/>
          <w:lang w:val="vi-VN"/>
        </w:rPr>
        <w:t>Chỉ thị số 48-CT/TW</w:t>
      </w:r>
      <w:r w:rsidR="008C738B" w:rsidRPr="007F1416">
        <w:rPr>
          <w:sz w:val="28"/>
          <w:szCs w:val="28"/>
        </w:rPr>
        <w:t xml:space="preserve"> ngày 22/10/2010</w:t>
      </w:r>
      <w:r w:rsidR="008C738B" w:rsidRPr="007F1416">
        <w:rPr>
          <w:sz w:val="28"/>
          <w:szCs w:val="28"/>
          <w:lang w:val="vi-VN"/>
        </w:rPr>
        <w:t xml:space="preserve"> của Bộ Chính trị</w:t>
      </w:r>
      <w:r w:rsidR="008C738B" w:rsidRPr="007F1416">
        <w:rPr>
          <w:color w:val="000000"/>
          <w:spacing w:val="-2"/>
          <w:sz w:val="28"/>
          <w:szCs w:val="28"/>
        </w:rPr>
        <w:t xml:space="preserve"> </w:t>
      </w:r>
      <w:r w:rsidR="00676E99" w:rsidRPr="007F1416">
        <w:rPr>
          <w:color w:val="000000"/>
          <w:sz w:val="28"/>
          <w:szCs w:val="28"/>
          <w:lang w:val="vi-VN"/>
        </w:rPr>
        <w:t>khóa X về “Tăng cường sự lãnh đạo của Đảng đối với công tác phòng, chống tội phạm trong tình hình mới”, Kết luận số 44-KL/TW ngày 22/01/2019</w:t>
      </w:r>
      <w:r w:rsidR="00676E99" w:rsidRPr="007F1416">
        <w:rPr>
          <w:color w:val="000000"/>
          <w:sz w:val="28"/>
          <w:szCs w:val="28"/>
          <w:lang w:val="pt-BR"/>
        </w:rPr>
        <w:t xml:space="preserve"> </w:t>
      </w:r>
      <w:r w:rsidR="00676E99" w:rsidRPr="007F1416">
        <w:rPr>
          <w:color w:val="000000"/>
          <w:sz w:val="28"/>
          <w:szCs w:val="28"/>
          <w:lang w:val="vi-VN"/>
        </w:rPr>
        <w:t>của Ban Bí thư về tiếp tục đẩy mạnh thực hiện Chỉ thị số 09-CT/TW</w:t>
      </w:r>
      <w:r w:rsidR="00676E99" w:rsidRPr="007F1416">
        <w:rPr>
          <w:color w:val="000000"/>
          <w:sz w:val="28"/>
          <w:szCs w:val="28"/>
          <w:lang w:val="pt-BR"/>
        </w:rPr>
        <w:t xml:space="preserve"> ngày 01/12/2011</w:t>
      </w:r>
      <w:r w:rsidR="00676E99" w:rsidRPr="007F1416">
        <w:rPr>
          <w:color w:val="000000"/>
          <w:sz w:val="28"/>
          <w:szCs w:val="28"/>
          <w:lang w:val="vi-VN"/>
        </w:rPr>
        <w:t xml:space="preserve"> của Ban Bí thư khóa XI về “Tăng cường sự lãnh đạo của Đảng đối với phong trào </w:t>
      </w:r>
      <w:r w:rsidR="00676E99" w:rsidRPr="007F1416">
        <w:rPr>
          <w:color w:val="000000"/>
          <w:sz w:val="28"/>
          <w:szCs w:val="28"/>
          <w:lang w:val="pt-BR"/>
        </w:rPr>
        <w:t>T</w:t>
      </w:r>
      <w:r w:rsidR="00676E99" w:rsidRPr="007F1416">
        <w:rPr>
          <w:color w:val="000000"/>
          <w:sz w:val="28"/>
          <w:szCs w:val="28"/>
          <w:lang w:val="vi-VN"/>
        </w:rPr>
        <w:t xml:space="preserve">oàn dân bảo vệ </w:t>
      </w:r>
      <w:r w:rsidR="00676E99" w:rsidRPr="007F1416">
        <w:rPr>
          <w:color w:val="000000"/>
          <w:sz w:val="28"/>
          <w:szCs w:val="28"/>
          <w:lang w:val="pt-BR"/>
        </w:rPr>
        <w:t>A</w:t>
      </w:r>
      <w:r w:rsidR="00676E99" w:rsidRPr="007F1416">
        <w:rPr>
          <w:color w:val="000000"/>
          <w:sz w:val="28"/>
          <w:szCs w:val="28"/>
          <w:lang w:val="vi-VN"/>
        </w:rPr>
        <w:t>n ninh Tổ quốc trong tình hình mới”</w:t>
      </w:r>
      <w:r w:rsidR="00676E99" w:rsidRPr="007F1416">
        <w:rPr>
          <w:color w:val="000000"/>
          <w:sz w:val="28"/>
          <w:szCs w:val="28"/>
        </w:rPr>
        <w:t>.</w:t>
      </w:r>
    </w:p>
    <w:p w:rsidR="00AF2023" w:rsidRPr="007F1416" w:rsidRDefault="002308F0" w:rsidP="007F1416">
      <w:pPr>
        <w:spacing w:before="120"/>
        <w:ind w:firstLine="851"/>
        <w:jc w:val="both"/>
        <w:rPr>
          <w:color w:val="000000"/>
          <w:sz w:val="28"/>
          <w:szCs w:val="28"/>
        </w:rPr>
      </w:pPr>
      <w:r w:rsidRPr="007F1416">
        <w:rPr>
          <w:b/>
          <w:sz w:val="28"/>
          <w:szCs w:val="28"/>
          <w:lang w:val="vi-VN"/>
        </w:rPr>
        <w:t>2.</w:t>
      </w:r>
      <w:r w:rsidR="00E236E6" w:rsidRPr="007F1416">
        <w:rPr>
          <w:sz w:val="28"/>
          <w:szCs w:val="28"/>
          <w:lang w:val="vi-VN"/>
        </w:rPr>
        <w:t xml:space="preserve"> </w:t>
      </w:r>
      <w:r w:rsidR="00CE3FEA" w:rsidRPr="007F1416">
        <w:rPr>
          <w:color w:val="000000"/>
          <w:sz w:val="28"/>
          <w:szCs w:val="28"/>
          <w:lang w:val="pt-BR"/>
        </w:rPr>
        <w:t>Đ</w:t>
      </w:r>
      <w:r w:rsidR="00CE3FEA" w:rsidRPr="007F1416">
        <w:rPr>
          <w:color w:val="000000"/>
          <w:sz w:val="28"/>
          <w:szCs w:val="28"/>
          <w:lang w:val="vi-VN"/>
        </w:rPr>
        <w:t xml:space="preserve">ẩy mạnh thực hiện công tác tuyên truyền, phổ biến các quy định của pháp luật, phương thức, thủ đoạn và tác hại của </w:t>
      </w:r>
      <w:r w:rsidR="00CC3B9C" w:rsidRPr="007F1416">
        <w:rPr>
          <w:sz w:val="28"/>
          <w:szCs w:val="28"/>
        </w:rPr>
        <w:t>TP&amp;VPPL</w:t>
      </w:r>
      <w:r w:rsidR="00CC3B9C" w:rsidRPr="007F1416">
        <w:rPr>
          <w:color w:val="000000"/>
          <w:sz w:val="28"/>
          <w:szCs w:val="28"/>
          <w:lang w:val="vi-VN"/>
        </w:rPr>
        <w:t xml:space="preserve"> </w:t>
      </w:r>
      <w:r w:rsidR="00D63451" w:rsidRPr="007F1416">
        <w:rPr>
          <w:color w:val="000000"/>
          <w:sz w:val="28"/>
          <w:szCs w:val="28"/>
          <w:lang w:val="vi-VN"/>
        </w:rPr>
        <w:t>liên quan đến</w:t>
      </w:r>
      <w:r w:rsidR="009F71F0" w:rsidRPr="007F1416">
        <w:rPr>
          <w:color w:val="000000"/>
          <w:sz w:val="28"/>
          <w:szCs w:val="28"/>
        </w:rPr>
        <w:t xml:space="preserve"> hoạt động</w:t>
      </w:r>
      <w:r w:rsidR="00D63451" w:rsidRPr="007F1416">
        <w:rPr>
          <w:color w:val="000000"/>
          <w:sz w:val="28"/>
          <w:szCs w:val="28"/>
          <w:lang w:val="vi-VN"/>
        </w:rPr>
        <w:t xml:space="preserve"> “tín dụng đen”</w:t>
      </w:r>
      <w:r w:rsidR="00D63451" w:rsidRPr="007F1416">
        <w:rPr>
          <w:color w:val="000000"/>
          <w:sz w:val="28"/>
          <w:szCs w:val="28"/>
        </w:rPr>
        <w:t xml:space="preserve"> và các </w:t>
      </w:r>
      <w:r w:rsidR="00E07C51">
        <w:rPr>
          <w:color w:val="000000"/>
          <w:sz w:val="28"/>
          <w:szCs w:val="28"/>
        </w:rPr>
        <w:t>quy định của Trung ương</w:t>
      </w:r>
      <w:r w:rsidR="00D67D30" w:rsidRPr="007F1416">
        <w:rPr>
          <w:rStyle w:val="FootnoteReference"/>
          <w:color w:val="000000"/>
          <w:sz w:val="28"/>
          <w:szCs w:val="28"/>
        </w:rPr>
        <w:footnoteReference w:id="3"/>
      </w:r>
      <w:r w:rsidR="00D63451" w:rsidRPr="007F1416">
        <w:rPr>
          <w:color w:val="000000"/>
          <w:sz w:val="28"/>
          <w:szCs w:val="28"/>
        </w:rPr>
        <w:t xml:space="preserve">. </w:t>
      </w:r>
      <w:r w:rsidR="00C70397" w:rsidRPr="007F1416">
        <w:rPr>
          <w:sz w:val="28"/>
          <w:szCs w:val="28"/>
        </w:rPr>
        <w:t>Đ</w:t>
      </w:r>
      <w:r w:rsidR="00CE3FEA" w:rsidRPr="007F1416">
        <w:rPr>
          <w:sz w:val="28"/>
          <w:szCs w:val="28"/>
          <w:lang w:val="vi-VN"/>
        </w:rPr>
        <w:t>ồng thời</w:t>
      </w:r>
      <w:r w:rsidR="00E07C51">
        <w:rPr>
          <w:sz w:val="28"/>
          <w:szCs w:val="28"/>
        </w:rPr>
        <w:t>,</w:t>
      </w:r>
      <w:r w:rsidR="00CE3FEA" w:rsidRPr="007F1416">
        <w:rPr>
          <w:sz w:val="28"/>
          <w:szCs w:val="28"/>
          <w:lang w:val="vi-VN"/>
        </w:rPr>
        <w:t xml:space="preserve"> tăng </w:t>
      </w:r>
      <w:r w:rsidR="00CE3FEA" w:rsidRPr="007F1416">
        <w:rPr>
          <w:bCs/>
          <w:sz w:val="28"/>
          <w:szCs w:val="28"/>
          <w:lang w:val="vi-VN"/>
        </w:rPr>
        <w:t>cường công tác đấu tranh với tội phạm, vi phạm pháp luật liên quan đến hoạt động “tín dụng đen”</w:t>
      </w:r>
      <w:r w:rsidR="00E07C51">
        <w:rPr>
          <w:bCs/>
          <w:sz w:val="28"/>
          <w:szCs w:val="28"/>
        </w:rPr>
        <w:t>,</w:t>
      </w:r>
      <w:r w:rsidR="00CE3FEA" w:rsidRPr="007F1416">
        <w:rPr>
          <w:bCs/>
          <w:sz w:val="28"/>
          <w:szCs w:val="28"/>
          <w:lang w:val="vi-VN"/>
        </w:rPr>
        <w:t xml:space="preserve"> nhất là </w:t>
      </w:r>
      <w:r w:rsidR="00E07C51">
        <w:rPr>
          <w:bCs/>
          <w:sz w:val="28"/>
          <w:szCs w:val="28"/>
        </w:rPr>
        <w:t>những</w:t>
      </w:r>
      <w:r w:rsidR="00CE3FEA" w:rsidRPr="007F1416">
        <w:rPr>
          <w:bCs/>
          <w:sz w:val="28"/>
          <w:szCs w:val="28"/>
          <w:lang w:val="vi-VN"/>
        </w:rPr>
        <w:t xml:space="preserve"> đối tượng</w:t>
      </w:r>
      <w:r w:rsidR="00C70397" w:rsidRPr="007F1416">
        <w:rPr>
          <w:bCs/>
          <w:sz w:val="28"/>
          <w:szCs w:val="28"/>
        </w:rPr>
        <w:t xml:space="preserve"> ngoài tỉnh</w:t>
      </w:r>
      <w:r w:rsidR="00CE3FEA" w:rsidRPr="007F1416">
        <w:rPr>
          <w:bCs/>
          <w:sz w:val="28"/>
          <w:szCs w:val="28"/>
          <w:lang w:val="vi-VN"/>
        </w:rPr>
        <w:t xml:space="preserve">, băng nhóm hoạt động “tín dụng đen” với phương thức, thủ đoạn mới </w:t>
      </w:r>
      <w:r w:rsidR="00E07C51" w:rsidRPr="00E07C51">
        <w:rPr>
          <w:bCs/>
          <w:i/>
          <w:sz w:val="28"/>
          <w:szCs w:val="28"/>
        </w:rPr>
        <w:t>(</w:t>
      </w:r>
      <w:r w:rsidR="00CE3FEA" w:rsidRPr="00E07C51">
        <w:rPr>
          <w:bCs/>
          <w:i/>
          <w:sz w:val="28"/>
          <w:szCs w:val="28"/>
          <w:lang w:val="vi-VN"/>
        </w:rPr>
        <w:t>c</w:t>
      </w:r>
      <w:r w:rsidR="00276483" w:rsidRPr="00E07C51">
        <w:rPr>
          <w:bCs/>
          <w:i/>
          <w:sz w:val="28"/>
          <w:szCs w:val="28"/>
          <w:lang w:val="vi-VN"/>
        </w:rPr>
        <w:t>ho vay trực tuyến, vay qua App,</w:t>
      </w:r>
      <w:r w:rsidR="00276483" w:rsidRPr="00E07C51">
        <w:rPr>
          <w:bCs/>
          <w:i/>
          <w:sz w:val="28"/>
          <w:szCs w:val="28"/>
        </w:rPr>
        <w:t>…</w:t>
      </w:r>
      <w:r w:rsidR="00E07C51" w:rsidRPr="00E07C51">
        <w:rPr>
          <w:bCs/>
          <w:i/>
          <w:sz w:val="28"/>
          <w:szCs w:val="28"/>
        </w:rPr>
        <w:t>)</w:t>
      </w:r>
      <w:r w:rsidR="00E07C51">
        <w:rPr>
          <w:bCs/>
          <w:sz w:val="28"/>
          <w:szCs w:val="28"/>
        </w:rPr>
        <w:t>.</w:t>
      </w:r>
      <w:r w:rsidR="003B08F9" w:rsidRPr="007F1416">
        <w:rPr>
          <w:bCs/>
          <w:color w:val="000000"/>
          <w:sz w:val="28"/>
          <w:szCs w:val="28"/>
        </w:rPr>
        <w:t xml:space="preserve"> </w:t>
      </w:r>
      <w:r w:rsidR="00CE3FEA" w:rsidRPr="007F1416">
        <w:rPr>
          <w:color w:val="000000"/>
          <w:sz w:val="28"/>
          <w:szCs w:val="28"/>
        </w:rPr>
        <w:t>T</w:t>
      </w:r>
      <w:r w:rsidR="00CE3FEA" w:rsidRPr="007F1416">
        <w:rPr>
          <w:color w:val="000000"/>
          <w:sz w:val="28"/>
          <w:szCs w:val="28"/>
          <w:lang w:val="vi-VN"/>
        </w:rPr>
        <w:t>hường xuyên tổ chức kiểm tra, hướng dẫn</w:t>
      </w:r>
      <w:r w:rsidR="00CE60F4">
        <w:rPr>
          <w:color w:val="000000"/>
          <w:sz w:val="28"/>
          <w:szCs w:val="28"/>
        </w:rPr>
        <w:t>,</w:t>
      </w:r>
      <w:r w:rsidR="00CE3FEA" w:rsidRPr="007F1416">
        <w:rPr>
          <w:color w:val="000000"/>
          <w:sz w:val="28"/>
          <w:szCs w:val="28"/>
          <w:lang w:val="vi-VN"/>
        </w:rPr>
        <w:t xml:space="preserve"> kịp thời tháo gỡ những khó khăn, vướng mắc ch</w:t>
      </w:r>
      <w:r w:rsidR="00537E9C" w:rsidRPr="007F1416">
        <w:rPr>
          <w:color w:val="000000"/>
          <w:sz w:val="28"/>
          <w:szCs w:val="28"/>
          <w:lang w:val="vi-VN"/>
        </w:rPr>
        <w:t>o người dân trong lĩnh vực này</w:t>
      </w:r>
      <w:r w:rsidR="00AF2023" w:rsidRPr="007F1416">
        <w:rPr>
          <w:color w:val="000000"/>
          <w:sz w:val="28"/>
          <w:szCs w:val="28"/>
        </w:rPr>
        <w:t>.</w:t>
      </w:r>
    </w:p>
    <w:p w:rsidR="00AF2023" w:rsidRPr="007F1416" w:rsidRDefault="002308F0" w:rsidP="007F1416">
      <w:pPr>
        <w:spacing w:before="120"/>
        <w:ind w:firstLine="851"/>
        <w:jc w:val="both"/>
        <w:rPr>
          <w:sz w:val="28"/>
          <w:szCs w:val="28"/>
        </w:rPr>
      </w:pPr>
      <w:r w:rsidRPr="007F1416">
        <w:rPr>
          <w:b/>
          <w:sz w:val="28"/>
          <w:szCs w:val="28"/>
          <w:lang w:val="vi-VN"/>
        </w:rPr>
        <w:t>3.</w:t>
      </w:r>
      <w:r w:rsidR="00E6514A" w:rsidRPr="007F1416">
        <w:rPr>
          <w:sz w:val="28"/>
          <w:szCs w:val="28"/>
          <w:lang w:val="vi-VN"/>
        </w:rPr>
        <w:t xml:space="preserve"> Tăng cường công </w:t>
      </w:r>
      <w:r w:rsidR="00E6514A" w:rsidRPr="007F1416">
        <w:rPr>
          <w:color w:val="000000"/>
          <w:sz w:val="28"/>
          <w:szCs w:val="28"/>
          <w:lang w:val="vi-VN"/>
        </w:rPr>
        <w:t>tác</w:t>
      </w:r>
      <w:r w:rsidR="00E6514A" w:rsidRPr="007F1416">
        <w:rPr>
          <w:sz w:val="28"/>
          <w:szCs w:val="28"/>
          <w:lang w:val="vi-VN"/>
        </w:rPr>
        <w:t xml:space="preserve"> quản lý Nhà nước trên lĩnh vực được</w:t>
      </w:r>
      <w:r w:rsidR="00874BBE" w:rsidRPr="007F1416">
        <w:rPr>
          <w:sz w:val="28"/>
          <w:szCs w:val="28"/>
          <w:lang w:val="vi-VN"/>
        </w:rPr>
        <w:t xml:space="preserve"> phân công, nắm chắc tình hình</w:t>
      </w:r>
      <w:r w:rsidR="00E6514A" w:rsidRPr="007F1416">
        <w:rPr>
          <w:sz w:val="28"/>
          <w:szCs w:val="28"/>
          <w:lang w:val="vi-VN"/>
        </w:rPr>
        <w:t xml:space="preserve"> địa bàn, tham mưu thành lập các Đoàn công tác liên ngành kiểm tra, xử lý các cơ sở kinh doanh ngành nghề có điều kiện về </w:t>
      </w:r>
      <w:r w:rsidR="00CE60F4">
        <w:rPr>
          <w:sz w:val="28"/>
          <w:szCs w:val="28"/>
        </w:rPr>
        <w:t>ANTT</w:t>
      </w:r>
      <w:r w:rsidR="00E6514A" w:rsidRPr="007F1416">
        <w:rPr>
          <w:sz w:val="28"/>
          <w:szCs w:val="28"/>
          <w:lang w:val="vi-VN"/>
        </w:rPr>
        <w:t xml:space="preserve"> liên quan đến hoạt động “tín dụng đen” </w:t>
      </w:r>
      <w:r w:rsidR="00CE60F4" w:rsidRPr="00CE60F4">
        <w:rPr>
          <w:i/>
          <w:sz w:val="28"/>
          <w:szCs w:val="28"/>
        </w:rPr>
        <w:t>(c</w:t>
      </w:r>
      <w:r w:rsidR="00E6514A" w:rsidRPr="00CE60F4">
        <w:rPr>
          <w:i/>
          <w:sz w:val="28"/>
          <w:szCs w:val="28"/>
          <w:lang w:val="vi-VN"/>
        </w:rPr>
        <w:t>ơ sở cầm đồ, cho thuê, mua bán xe máy, đòi nợ, kinh doanh tài chính</w:t>
      </w:r>
      <w:r w:rsidR="00CE60F4" w:rsidRPr="00CE60F4">
        <w:rPr>
          <w:i/>
          <w:sz w:val="28"/>
          <w:szCs w:val="28"/>
        </w:rPr>
        <w:t>,…)</w:t>
      </w:r>
      <w:r w:rsidR="001D576C" w:rsidRPr="007F1416">
        <w:rPr>
          <w:sz w:val="28"/>
          <w:szCs w:val="28"/>
        </w:rPr>
        <w:t>; thu hồi giấy chứng nhận đủ điều kiện về ANTT đối với các cơ sở vi phạm.</w:t>
      </w:r>
      <w:r w:rsidR="00874BBE" w:rsidRPr="007F1416">
        <w:rPr>
          <w:sz w:val="28"/>
          <w:szCs w:val="28"/>
          <w:lang w:val="vi-VN"/>
        </w:rPr>
        <w:t xml:space="preserve"> </w:t>
      </w:r>
      <w:r w:rsidR="00CE60F4">
        <w:rPr>
          <w:sz w:val="28"/>
          <w:szCs w:val="28"/>
        </w:rPr>
        <w:t>Tăng cường</w:t>
      </w:r>
      <w:r w:rsidR="00874BBE" w:rsidRPr="007F1416">
        <w:rPr>
          <w:sz w:val="28"/>
          <w:szCs w:val="28"/>
          <w:lang w:val="vi-VN"/>
        </w:rPr>
        <w:t xml:space="preserve"> công tác thanh tra, kiểm tra, giám sát các tổ chức tín dụng</w:t>
      </w:r>
      <w:r w:rsidR="00CE60F4">
        <w:rPr>
          <w:sz w:val="28"/>
          <w:szCs w:val="28"/>
        </w:rPr>
        <w:t xml:space="preserve"> bảo</w:t>
      </w:r>
      <w:r w:rsidR="00874BBE" w:rsidRPr="007F1416">
        <w:rPr>
          <w:sz w:val="28"/>
          <w:szCs w:val="28"/>
          <w:lang w:val="vi-VN"/>
        </w:rPr>
        <w:t xml:space="preserve"> đảm hoạt động an toàn, hiệu quả; kịp thời phát hiện các vụ việc có dấu hiệu tội phạm</w:t>
      </w:r>
      <w:r w:rsidR="00CE60F4">
        <w:rPr>
          <w:sz w:val="28"/>
          <w:szCs w:val="28"/>
        </w:rPr>
        <w:t xml:space="preserve"> và </w:t>
      </w:r>
      <w:r w:rsidR="00874BBE" w:rsidRPr="007F1416">
        <w:rPr>
          <w:sz w:val="28"/>
          <w:szCs w:val="28"/>
          <w:lang w:val="vi-VN"/>
        </w:rPr>
        <w:t>xử lý theo quy định pháp luật nhằm nâng cao hiệ</w:t>
      </w:r>
      <w:r w:rsidR="00AF2023" w:rsidRPr="007F1416">
        <w:rPr>
          <w:sz w:val="28"/>
          <w:szCs w:val="28"/>
          <w:lang w:val="vi-VN"/>
        </w:rPr>
        <w:t>u quả răn đe, phòng ngừa chung.</w:t>
      </w:r>
    </w:p>
    <w:p w:rsidR="00AF2023" w:rsidRPr="007F1416" w:rsidRDefault="002308F0" w:rsidP="007F1416">
      <w:pPr>
        <w:spacing w:before="120"/>
        <w:ind w:firstLine="851"/>
        <w:jc w:val="both"/>
        <w:rPr>
          <w:sz w:val="28"/>
          <w:szCs w:val="28"/>
        </w:rPr>
      </w:pPr>
      <w:r w:rsidRPr="007F1416">
        <w:rPr>
          <w:b/>
          <w:sz w:val="28"/>
          <w:szCs w:val="28"/>
          <w:lang w:val="vi-VN"/>
        </w:rPr>
        <w:t>4.</w:t>
      </w:r>
      <w:r w:rsidR="00583691" w:rsidRPr="007F1416">
        <w:rPr>
          <w:sz w:val="28"/>
          <w:szCs w:val="28"/>
          <w:lang w:val="vi-VN"/>
        </w:rPr>
        <w:t xml:space="preserve"> </w:t>
      </w:r>
      <w:r w:rsidR="00853F4E" w:rsidRPr="007F1416">
        <w:rPr>
          <w:color w:val="000000"/>
          <w:sz w:val="28"/>
          <w:szCs w:val="28"/>
          <w:lang w:val="vi-VN"/>
        </w:rPr>
        <w:t>Công an tỉnh tiếp tục thực hiện tốt công tác tham mưu</w:t>
      </w:r>
      <w:r w:rsidR="00CE60F4">
        <w:rPr>
          <w:color w:val="000000"/>
          <w:sz w:val="28"/>
          <w:szCs w:val="28"/>
        </w:rPr>
        <w:t>,</w:t>
      </w:r>
      <w:r w:rsidR="00853F4E" w:rsidRPr="007F1416">
        <w:rPr>
          <w:color w:val="000000"/>
          <w:sz w:val="28"/>
          <w:szCs w:val="28"/>
          <w:lang w:val="vi-VN"/>
        </w:rPr>
        <w:t xml:space="preserve"> </w:t>
      </w:r>
      <w:r w:rsidR="00BF7018" w:rsidRPr="007F1416">
        <w:rPr>
          <w:color w:val="000000"/>
          <w:sz w:val="28"/>
          <w:szCs w:val="28"/>
          <w:lang w:val="vi-VN"/>
        </w:rPr>
        <w:t xml:space="preserve">triển khai thực hiện </w:t>
      </w:r>
      <w:r w:rsidR="00BF7018" w:rsidRPr="007F1416">
        <w:rPr>
          <w:color w:val="000000"/>
          <w:sz w:val="28"/>
          <w:szCs w:val="28"/>
        </w:rPr>
        <w:t>C</w:t>
      </w:r>
      <w:r w:rsidR="00853F4E" w:rsidRPr="007F1416">
        <w:rPr>
          <w:color w:val="000000"/>
          <w:sz w:val="28"/>
          <w:szCs w:val="28"/>
          <w:lang w:val="vi-VN"/>
        </w:rPr>
        <w:t>hỉ thị</w:t>
      </w:r>
      <w:r w:rsidR="00805E1B" w:rsidRPr="007F1416">
        <w:rPr>
          <w:color w:val="000000"/>
          <w:sz w:val="28"/>
          <w:szCs w:val="28"/>
        </w:rPr>
        <w:t xml:space="preserve"> số</w:t>
      </w:r>
      <w:r w:rsidR="00853F4E" w:rsidRPr="007F1416">
        <w:rPr>
          <w:color w:val="000000"/>
          <w:sz w:val="28"/>
          <w:szCs w:val="28"/>
          <w:lang w:val="vi-VN"/>
        </w:rPr>
        <w:t xml:space="preserve"> 12/CT-</w:t>
      </w:r>
      <w:proofErr w:type="spellStart"/>
      <w:r w:rsidR="00853F4E" w:rsidRPr="007F1416">
        <w:rPr>
          <w:color w:val="000000"/>
          <w:sz w:val="28"/>
          <w:szCs w:val="28"/>
        </w:rPr>
        <w:t>TTg</w:t>
      </w:r>
      <w:proofErr w:type="spellEnd"/>
      <w:r w:rsidR="00853F4E" w:rsidRPr="007F1416">
        <w:rPr>
          <w:sz w:val="28"/>
          <w:szCs w:val="28"/>
          <w:lang w:val="vi-VN"/>
        </w:rPr>
        <w:t xml:space="preserve">; </w:t>
      </w:r>
      <w:r w:rsidR="007E06F2" w:rsidRPr="007F1416">
        <w:rPr>
          <w:sz w:val="28"/>
          <w:szCs w:val="28"/>
          <w:lang w:val="vi-VN"/>
        </w:rPr>
        <w:t>c</w:t>
      </w:r>
      <w:r w:rsidR="00583691" w:rsidRPr="007F1416">
        <w:rPr>
          <w:sz w:val="28"/>
          <w:szCs w:val="28"/>
          <w:lang w:val="vi-VN"/>
        </w:rPr>
        <w:t xml:space="preserve">hủ động </w:t>
      </w:r>
      <w:r w:rsidR="00874BBE" w:rsidRPr="007F1416">
        <w:rPr>
          <w:sz w:val="28"/>
          <w:szCs w:val="28"/>
          <w:lang w:val="vi-VN"/>
        </w:rPr>
        <w:t xml:space="preserve">rà soát, phát hiện, áp dụng các biện pháp nghiệp vụ, </w:t>
      </w:r>
      <w:r w:rsidR="00583691" w:rsidRPr="007F1416">
        <w:rPr>
          <w:sz w:val="28"/>
          <w:szCs w:val="28"/>
          <w:lang w:val="vi-VN"/>
        </w:rPr>
        <w:t xml:space="preserve">quản lý đối tượng, nhất là </w:t>
      </w:r>
      <w:r w:rsidR="00CE60F4">
        <w:rPr>
          <w:sz w:val="28"/>
          <w:szCs w:val="28"/>
        </w:rPr>
        <w:t>những</w:t>
      </w:r>
      <w:r w:rsidR="00583691" w:rsidRPr="007F1416">
        <w:rPr>
          <w:sz w:val="28"/>
          <w:szCs w:val="28"/>
          <w:lang w:val="vi-VN"/>
        </w:rPr>
        <w:t xml:space="preserve"> đối tượng hoạt động “tín dụng đen” có biểu hiện sử dụng đối tượ</w:t>
      </w:r>
      <w:r w:rsidR="00E41DFB" w:rsidRPr="007F1416">
        <w:rPr>
          <w:sz w:val="28"/>
          <w:szCs w:val="28"/>
          <w:lang w:val="vi-VN"/>
        </w:rPr>
        <w:t>ng côn đồ, có tiền án, tiền sự,...</w:t>
      </w:r>
      <w:r w:rsidR="00583691" w:rsidRPr="007F1416">
        <w:rPr>
          <w:sz w:val="28"/>
          <w:szCs w:val="28"/>
          <w:lang w:val="vi-VN"/>
        </w:rPr>
        <w:t xml:space="preserve"> tham gia hoặc tiếp tay cho hoạt động cho vay nặng lãi, đòi</w:t>
      </w:r>
      <w:r w:rsidR="00874BBE" w:rsidRPr="007F1416">
        <w:rPr>
          <w:sz w:val="28"/>
          <w:szCs w:val="28"/>
          <w:lang w:val="vi-VN"/>
        </w:rPr>
        <w:t xml:space="preserve"> nợ thuê;</w:t>
      </w:r>
      <w:r w:rsidR="00583691" w:rsidRPr="007F1416">
        <w:rPr>
          <w:sz w:val="28"/>
          <w:szCs w:val="28"/>
          <w:lang w:val="vi-VN"/>
        </w:rPr>
        <w:t xml:space="preserve"> không để hình thành các băng nhóm tội ph</w:t>
      </w:r>
      <w:r w:rsidR="00E41DFB" w:rsidRPr="007F1416">
        <w:rPr>
          <w:sz w:val="28"/>
          <w:szCs w:val="28"/>
          <w:lang w:val="vi-VN"/>
        </w:rPr>
        <w:t>ạm phức tạp</w:t>
      </w:r>
      <w:r w:rsidR="00CE60F4">
        <w:rPr>
          <w:sz w:val="28"/>
          <w:szCs w:val="28"/>
        </w:rPr>
        <w:t xml:space="preserve"> </w:t>
      </w:r>
      <w:r w:rsidR="00583691" w:rsidRPr="007F1416">
        <w:rPr>
          <w:sz w:val="28"/>
          <w:szCs w:val="28"/>
          <w:lang w:val="vi-VN"/>
        </w:rPr>
        <w:t xml:space="preserve">gây </w:t>
      </w:r>
      <w:r w:rsidR="00874BBE" w:rsidRPr="007F1416">
        <w:rPr>
          <w:sz w:val="28"/>
          <w:szCs w:val="28"/>
          <w:lang w:val="vi-VN"/>
        </w:rPr>
        <w:t>ra các vụ án rất nghiêm trọng hoặc</w:t>
      </w:r>
      <w:r w:rsidR="00583691" w:rsidRPr="007F1416">
        <w:rPr>
          <w:sz w:val="28"/>
          <w:szCs w:val="28"/>
          <w:lang w:val="vi-VN"/>
        </w:rPr>
        <w:t xml:space="preserve"> đặc biệt nghiêm trọng</w:t>
      </w:r>
      <w:r w:rsidR="00CE60F4">
        <w:rPr>
          <w:sz w:val="28"/>
          <w:szCs w:val="28"/>
        </w:rPr>
        <w:t xml:space="preserve">, gây </w:t>
      </w:r>
      <w:r w:rsidR="00CE60F4" w:rsidRPr="007F1416">
        <w:rPr>
          <w:sz w:val="28"/>
          <w:szCs w:val="28"/>
          <w:lang w:val="vi-VN"/>
        </w:rPr>
        <w:t>hoang mang dư luận</w:t>
      </w:r>
      <w:r w:rsidR="00CE60F4">
        <w:rPr>
          <w:sz w:val="28"/>
          <w:szCs w:val="28"/>
        </w:rPr>
        <w:t>. C</w:t>
      </w:r>
      <w:r w:rsidR="00583691" w:rsidRPr="007F1416">
        <w:rPr>
          <w:sz w:val="28"/>
          <w:szCs w:val="28"/>
          <w:lang w:val="vi-VN"/>
        </w:rPr>
        <w:t>hủ động mở các đợt cao điểm tấn công, trấn áp tội phạm để đấu tranh triệt phá các băng nhóm tội phạm hoạt động đòi nợ thuê, c</w:t>
      </w:r>
      <w:r w:rsidR="00537BFF" w:rsidRPr="007F1416">
        <w:rPr>
          <w:sz w:val="28"/>
          <w:szCs w:val="28"/>
          <w:lang w:val="vi-VN"/>
        </w:rPr>
        <w:t xml:space="preserve">ưỡng đoạt tài sản, cho vay </w:t>
      </w:r>
      <w:r w:rsidR="00583691" w:rsidRPr="007F1416">
        <w:rPr>
          <w:sz w:val="28"/>
          <w:szCs w:val="28"/>
          <w:lang w:val="vi-VN"/>
        </w:rPr>
        <w:t>lãi</w:t>
      </w:r>
      <w:r w:rsidR="00537BFF" w:rsidRPr="007F1416">
        <w:rPr>
          <w:sz w:val="28"/>
          <w:szCs w:val="28"/>
          <w:lang w:val="vi-VN"/>
        </w:rPr>
        <w:t xml:space="preserve"> nặng</w:t>
      </w:r>
      <w:r w:rsidR="00583691" w:rsidRPr="007F1416">
        <w:rPr>
          <w:sz w:val="28"/>
          <w:szCs w:val="28"/>
          <w:lang w:val="vi-VN"/>
        </w:rPr>
        <w:t xml:space="preserve">,... liên quan đến hoạt động “tín dụng đen” nhằm bảo </w:t>
      </w:r>
      <w:r w:rsidR="00CE60F4" w:rsidRPr="007F1416">
        <w:rPr>
          <w:sz w:val="28"/>
          <w:szCs w:val="28"/>
          <w:lang w:val="vi-VN"/>
        </w:rPr>
        <w:t>đảm</w:t>
      </w:r>
      <w:r w:rsidR="00CE60F4" w:rsidRPr="007F1416">
        <w:rPr>
          <w:sz w:val="28"/>
          <w:szCs w:val="28"/>
          <w:lang w:val="vi-VN"/>
        </w:rPr>
        <w:t xml:space="preserve"> </w:t>
      </w:r>
      <w:r w:rsidR="00CE60F4">
        <w:rPr>
          <w:sz w:val="28"/>
          <w:szCs w:val="28"/>
        </w:rPr>
        <w:t>ANTT</w:t>
      </w:r>
      <w:r w:rsidR="00583691" w:rsidRPr="007F1416">
        <w:rPr>
          <w:sz w:val="28"/>
          <w:szCs w:val="28"/>
          <w:lang w:val="vi-VN"/>
        </w:rPr>
        <w:t>, góp phần bảo vệ tuyệt đối an toàn các</w:t>
      </w:r>
      <w:r w:rsidR="00D54E5E" w:rsidRPr="007F1416">
        <w:rPr>
          <w:sz w:val="28"/>
          <w:szCs w:val="28"/>
          <w:lang w:val="vi-VN"/>
        </w:rPr>
        <w:t xml:space="preserve"> sự kiện lớn trên địa bàn tỉnh.</w:t>
      </w:r>
    </w:p>
    <w:p w:rsidR="00AF2023" w:rsidRPr="007F1416" w:rsidRDefault="007F1416" w:rsidP="007F1416">
      <w:pPr>
        <w:spacing w:before="120"/>
        <w:ind w:firstLine="851"/>
        <w:jc w:val="both"/>
        <w:rPr>
          <w:sz w:val="28"/>
          <w:szCs w:val="28"/>
        </w:rPr>
      </w:pPr>
      <w:r>
        <w:rPr>
          <w:b/>
          <w:sz w:val="28"/>
          <w:szCs w:val="28"/>
        </w:rPr>
        <w:t>5</w:t>
      </w:r>
      <w:r w:rsidR="002308F0" w:rsidRPr="007F1416">
        <w:rPr>
          <w:b/>
          <w:sz w:val="28"/>
          <w:szCs w:val="28"/>
          <w:lang w:val="vi-VN"/>
        </w:rPr>
        <w:t>.</w:t>
      </w:r>
      <w:r w:rsidR="00012D18" w:rsidRPr="007F1416">
        <w:rPr>
          <w:sz w:val="28"/>
          <w:szCs w:val="28"/>
          <w:lang w:val="vi-VN"/>
        </w:rPr>
        <w:t xml:space="preserve"> </w:t>
      </w:r>
      <w:r w:rsidR="00C3083C" w:rsidRPr="007F1416">
        <w:rPr>
          <w:color w:val="000000"/>
          <w:sz w:val="28"/>
          <w:szCs w:val="28"/>
          <w:lang w:val="vi-VN"/>
        </w:rPr>
        <w:t xml:space="preserve">Viện kiểm sát nhân dân tỉnh, Tòa án nhân dân tỉnh phối hợp chặt chẽ với các cơ quan liên quan trong công tác điều tra, truy tố, xét xử các vụ án liên quan đến hoạt động “tín dụng đen” bảo đảm nghiêm minh, đúng người, đúng tội, đúng </w:t>
      </w:r>
      <w:r w:rsidR="00C3083C" w:rsidRPr="007F1416">
        <w:rPr>
          <w:color w:val="000000"/>
          <w:sz w:val="28"/>
          <w:szCs w:val="28"/>
          <w:lang w:val="vi-VN"/>
        </w:rPr>
        <w:lastRenderedPageBreak/>
        <w:t xml:space="preserve">pháp luật, không để oan sai, bỏ lọt tội phạm; </w:t>
      </w:r>
      <w:r w:rsidR="00C3083C" w:rsidRPr="007F1416">
        <w:rPr>
          <w:sz w:val="28"/>
          <w:szCs w:val="28"/>
          <w:lang w:val="vi-VN"/>
        </w:rPr>
        <w:t xml:space="preserve">lựa chọn xét xử điểm, lưu động một số vụ án có đối tượng </w:t>
      </w:r>
      <w:r w:rsidR="009F71F0" w:rsidRPr="007F1416">
        <w:rPr>
          <w:sz w:val="28"/>
          <w:szCs w:val="28"/>
        </w:rPr>
        <w:t>“</w:t>
      </w:r>
      <w:r w:rsidR="009F71F0" w:rsidRPr="007F1416">
        <w:rPr>
          <w:sz w:val="28"/>
          <w:szCs w:val="28"/>
          <w:lang w:val="vi-VN"/>
        </w:rPr>
        <w:t>sử dụng công nghệ</w:t>
      </w:r>
      <w:r w:rsidR="009F71F0" w:rsidRPr="007F1416">
        <w:rPr>
          <w:sz w:val="28"/>
          <w:szCs w:val="28"/>
        </w:rPr>
        <w:t>”</w:t>
      </w:r>
      <w:r w:rsidR="00C3083C" w:rsidRPr="007F1416">
        <w:rPr>
          <w:sz w:val="28"/>
          <w:szCs w:val="28"/>
          <w:lang w:val="vi-VN"/>
        </w:rPr>
        <w:t xml:space="preserve"> để hoạt động</w:t>
      </w:r>
      <w:r w:rsidR="00757080" w:rsidRPr="007F1416">
        <w:rPr>
          <w:sz w:val="28"/>
          <w:szCs w:val="28"/>
          <w:lang w:val="vi-VN"/>
        </w:rPr>
        <w:t xml:space="preserve">, nhất là các vụ án gây bức xúc trong dư luận nhằm xử lý triệt để, </w:t>
      </w:r>
      <w:r w:rsidR="009F71F0" w:rsidRPr="007F1416">
        <w:rPr>
          <w:sz w:val="28"/>
          <w:szCs w:val="28"/>
          <w:lang w:val="vi-VN"/>
        </w:rPr>
        <w:t>tận gốc các đối tượng phạm tội</w:t>
      </w:r>
      <w:r w:rsidR="00757080" w:rsidRPr="007F1416">
        <w:rPr>
          <w:sz w:val="28"/>
          <w:szCs w:val="28"/>
          <w:lang w:val="vi-VN"/>
        </w:rPr>
        <w:t>, nhất là các đối tượng chủ mưu, cầm đầu nhằm giáo dục, răn đe, phòng ngừa tội phạm.</w:t>
      </w:r>
    </w:p>
    <w:p w:rsidR="00012D18" w:rsidRDefault="007F1416" w:rsidP="007F1416">
      <w:pPr>
        <w:spacing w:before="120"/>
        <w:ind w:firstLine="851"/>
        <w:jc w:val="both"/>
        <w:rPr>
          <w:sz w:val="28"/>
          <w:szCs w:val="28"/>
        </w:rPr>
      </w:pPr>
      <w:r>
        <w:rPr>
          <w:b/>
          <w:sz w:val="28"/>
          <w:szCs w:val="28"/>
        </w:rPr>
        <w:t>6</w:t>
      </w:r>
      <w:r w:rsidR="002308F0" w:rsidRPr="007F1416">
        <w:rPr>
          <w:b/>
          <w:sz w:val="28"/>
          <w:szCs w:val="28"/>
          <w:lang w:val="vi-VN"/>
        </w:rPr>
        <w:t>.</w:t>
      </w:r>
      <w:r w:rsidR="002308F0" w:rsidRPr="007F1416">
        <w:rPr>
          <w:sz w:val="28"/>
          <w:szCs w:val="28"/>
          <w:lang w:val="vi-VN"/>
        </w:rPr>
        <w:t xml:space="preserve"> </w:t>
      </w:r>
      <w:r w:rsidR="00D71A10" w:rsidRPr="007F1416">
        <w:rPr>
          <w:sz w:val="28"/>
          <w:szCs w:val="28"/>
          <w:lang w:val="vi-VN"/>
        </w:rPr>
        <w:t xml:space="preserve">Ủy </w:t>
      </w:r>
      <w:r w:rsidR="00D71A10" w:rsidRPr="007F1416">
        <w:rPr>
          <w:color w:val="000000"/>
          <w:sz w:val="28"/>
          <w:szCs w:val="28"/>
          <w:lang w:val="vi-VN"/>
        </w:rPr>
        <w:t>ban</w:t>
      </w:r>
      <w:r w:rsidR="00D71A10" w:rsidRPr="007F1416">
        <w:rPr>
          <w:sz w:val="28"/>
          <w:szCs w:val="28"/>
          <w:lang w:val="vi-VN"/>
        </w:rPr>
        <w:t xml:space="preserve"> Mặt trận Tổ quố</w:t>
      </w:r>
      <w:r w:rsidR="000634D7" w:rsidRPr="007F1416">
        <w:rPr>
          <w:sz w:val="28"/>
          <w:szCs w:val="28"/>
          <w:lang w:val="vi-VN"/>
        </w:rPr>
        <w:t>c Việt Nam tỉnh và các tổ chức</w:t>
      </w:r>
      <w:r w:rsidR="000634D7" w:rsidRPr="007F1416">
        <w:rPr>
          <w:sz w:val="28"/>
          <w:szCs w:val="28"/>
        </w:rPr>
        <w:t xml:space="preserve"> thành viên</w:t>
      </w:r>
      <w:r w:rsidR="008B1377" w:rsidRPr="007F1416">
        <w:rPr>
          <w:sz w:val="28"/>
          <w:szCs w:val="28"/>
          <w:lang w:val="vi-VN"/>
        </w:rPr>
        <w:t xml:space="preserve"> đẩy mạnh các giải pháp </w:t>
      </w:r>
      <w:r w:rsidR="00F74546" w:rsidRPr="007F1416">
        <w:rPr>
          <w:sz w:val="28"/>
          <w:szCs w:val="28"/>
          <w:lang w:val="vi-VN"/>
        </w:rPr>
        <w:t>phối hợp trong thực hiện Đề án “Vận động toàn dân tham gia phòng ngừa, phát hiện, tố giác tội phạm; cảm hóa, giáo dục, cải tạo người phạm tội tại</w:t>
      </w:r>
      <w:r w:rsidR="006F5C38" w:rsidRPr="007F1416">
        <w:rPr>
          <w:sz w:val="28"/>
          <w:szCs w:val="28"/>
          <w:lang w:val="vi-VN"/>
        </w:rPr>
        <w:t xml:space="preserve"> gia đình và cộng đồng dân cư”. </w:t>
      </w:r>
      <w:r w:rsidR="00F74546" w:rsidRPr="007F1416">
        <w:rPr>
          <w:sz w:val="28"/>
          <w:szCs w:val="28"/>
          <w:lang w:val="vi-VN"/>
        </w:rPr>
        <w:t xml:space="preserve">Tích cực phối hợp tuyên truyền các chính sách tài chính, hỗ trợ thành viên vay vốn từ ngân hàng, tổ chức tài chính hợp pháp; tuyên truyền, giáo dục, nâng cao nhận thức và ý thức chấp hành pháp luật trong Nhân dân, kịp thời tuyên truyền nâng cao cảnh giác về phương thức, thủ đoạn và hậu quả do “tín dụng đen” gây ra. Phối hợp giám sát, ngăn ngừa các hoạt động của đoàn viên, hội viên, cán bộ, công nhân, viên chức tham gia các hoạt động đi vay, cho vay, đòi nợ </w:t>
      </w:r>
      <w:r>
        <w:rPr>
          <w:sz w:val="28"/>
          <w:szCs w:val="28"/>
          <w:lang w:val="vi-VN"/>
        </w:rPr>
        <w:t>có liên quan đến “tín dụng đen”</w:t>
      </w:r>
      <w:r w:rsidR="00031343" w:rsidRPr="007F1416">
        <w:rPr>
          <w:sz w:val="28"/>
          <w:szCs w:val="28"/>
        </w:rPr>
        <w:t>./.</w:t>
      </w:r>
    </w:p>
    <w:p w:rsidR="007F1416" w:rsidRPr="00CE60F4" w:rsidRDefault="007F1416" w:rsidP="007F1416">
      <w:pPr>
        <w:spacing w:before="120"/>
        <w:ind w:firstLine="851"/>
        <w:jc w:val="both"/>
        <w:rPr>
          <w:sz w:val="16"/>
          <w:szCs w:val="28"/>
        </w:rPr>
      </w:pPr>
    </w:p>
    <w:p w:rsidR="00CF3DBF" w:rsidRPr="007408E5" w:rsidRDefault="00CF3DBF" w:rsidP="00A74FE3">
      <w:pPr>
        <w:spacing w:before="60" w:after="60"/>
        <w:ind w:firstLine="720"/>
        <w:contextualSpacing/>
        <w:jc w:val="both"/>
        <w:rPr>
          <w:sz w:val="14"/>
          <w:szCs w:val="28"/>
          <w:lang w:val="vi-VN"/>
        </w:rPr>
      </w:pPr>
    </w:p>
    <w:tbl>
      <w:tblPr>
        <w:tblW w:w="9606" w:type="dxa"/>
        <w:tblLook w:val="04A0" w:firstRow="1" w:lastRow="0" w:firstColumn="1" w:lastColumn="0" w:noHBand="0" w:noVBand="1"/>
      </w:tblPr>
      <w:tblGrid>
        <w:gridCol w:w="5778"/>
        <w:gridCol w:w="3828"/>
      </w:tblGrid>
      <w:tr w:rsidR="00CF3DBF" w:rsidRPr="00171436" w:rsidTr="00CE60F4">
        <w:tc>
          <w:tcPr>
            <w:tcW w:w="5778" w:type="dxa"/>
          </w:tcPr>
          <w:p w:rsidR="00CF3DBF" w:rsidRPr="002B4AF0" w:rsidRDefault="00CF3DBF" w:rsidP="00DC42E6">
            <w:pPr>
              <w:rPr>
                <w:b/>
                <w:i/>
                <w:lang w:val="vi-VN"/>
              </w:rPr>
            </w:pPr>
            <w:r w:rsidRPr="002B4AF0">
              <w:rPr>
                <w:b/>
                <w:i/>
                <w:lang w:val="vi-VN"/>
              </w:rPr>
              <w:t>Nơi nhận:</w:t>
            </w:r>
          </w:p>
          <w:p w:rsidR="00EE2A74" w:rsidRPr="00BA7CF5" w:rsidRDefault="00EE2A74" w:rsidP="00EE2A74">
            <w:pPr>
              <w:jc w:val="both"/>
              <w:rPr>
                <w:bCs/>
                <w:sz w:val="22"/>
                <w:szCs w:val="22"/>
                <w:lang w:val="vi-VN"/>
              </w:rPr>
            </w:pPr>
            <w:r w:rsidRPr="00BA7CF5">
              <w:rPr>
                <w:bCs/>
                <w:sz w:val="22"/>
                <w:szCs w:val="22"/>
                <w:lang w:val="vi-VN"/>
              </w:rPr>
              <w:t>- Như trên;</w:t>
            </w:r>
          </w:p>
          <w:p w:rsidR="00EE2A74" w:rsidRPr="0023668B" w:rsidRDefault="00EE2A74" w:rsidP="00EE2A74">
            <w:pPr>
              <w:jc w:val="both"/>
              <w:rPr>
                <w:bCs/>
                <w:lang w:val="vi-VN"/>
              </w:rPr>
            </w:pPr>
            <w:r w:rsidRPr="0023668B">
              <w:rPr>
                <w:bCs/>
                <w:sz w:val="22"/>
                <w:szCs w:val="22"/>
                <w:lang w:val="vi-VN"/>
              </w:rPr>
              <w:t>- Văn phòng Chính phủ</w:t>
            </w:r>
            <w:r w:rsidR="00CE60F4">
              <w:rPr>
                <w:bCs/>
                <w:sz w:val="22"/>
                <w:szCs w:val="22"/>
              </w:rPr>
              <w:t xml:space="preserve"> </w:t>
            </w:r>
            <w:r w:rsidR="00CE60F4" w:rsidRPr="00CE60F4">
              <w:rPr>
                <w:bCs/>
                <w:i/>
                <w:sz w:val="22"/>
                <w:szCs w:val="22"/>
              </w:rPr>
              <w:t>(b/c)</w:t>
            </w:r>
            <w:r w:rsidRPr="0023668B">
              <w:rPr>
                <w:bCs/>
                <w:sz w:val="22"/>
                <w:szCs w:val="22"/>
                <w:lang w:val="vi-VN"/>
              </w:rPr>
              <w:t>;</w:t>
            </w:r>
          </w:p>
          <w:p w:rsidR="00EE2A74" w:rsidRPr="00BA7CF5" w:rsidRDefault="00EE2A74" w:rsidP="00EE2A74">
            <w:pPr>
              <w:jc w:val="both"/>
              <w:rPr>
                <w:bCs/>
                <w:lang w:val="vi-VN"/>
              </w:rPr>
            </w:pPr>
            <w:r w:rsidRPr="00BA7CF5">
              <w:rPr>
                <w:bCs/>
                <w:sz w:val="22"/>
                <w:szCs w:val="22"/>
                <w:lang w:val="vi-VN"/>
              </w:rPr>
              <w:t>- Bộ Công an</w:t>
            </w:r>
            <w:r w:rsidR="00CE60F4">
              <w:rPr>
                <w:bCs/>
                <w:sz w:val="22"/>
                <w:szCs w:val="22"/>
              </w:rPr>
              <w:t xml:space="preserve"> </w:t>
            </w:r>
            <w:r w:rsidR="00CE60F4" w:rsidRPr="00CE60F4">
              <w:rPr>
                <w:bCs/>
                <w:i/>
                <w:sz w:val="22"/>
                <w:szCs w:val="22"/>
              </w:rPr>
              <w:t>(b/c)</w:t>
            </w:r>
            <w:r w:rsidRPr="00BA7CF5">
              <w:rPr>
                <w:bCs/>
                <w:sz w:val="22"/>
                <w:szCs w:val="22"/>
                <w:lang w:val="vi-VN"/>
              </w:rPr>
              <w:t>;</w:t>
            </w:r>
          </w:p>
          <w:p w:rsidR="00EE2A74" w:rsidRPr="00BA7CF5" w:rsidRDefault="00EE2A74" w:rsidP="00EE2A74">
            <w:pPr>
              <w:jc w:val="both"/>
              <w:rPr>
                <w:bCs/>
                <w:lang w:val="vi-VN"/>
              </w:rPr>
            </w:pPr>
            <w:r w:rsidRPr="00BA7CF5">
              <w:rPr>
                <w:bCs/>
                <w:sz w:val="22"/>
                <w:szCs w:val="22"/>
                <w:lang w:val="vi-VN"/>
              </w:rPr>
              <w:t>- Thường trực Tỉnh ủy, HĐND tỉnh</w:t>
            </w:r>
            <w:r w:rsidR="00CE60F4">
              <w:rPr>
                <w:bCs/>
                <w:sz w:val="22"/>
                <w:szCs w:val="22"/>
              </w:rPr>
              <w:t xml:space="preserve"> </w:t>
            </w:r>
            <w:r w:rsidR="00CE60F4" w:rsidRPr="00CE60F4">
              <w:rPr>
                <w:bCs/>
                <w:i/>
                <w:sz w:val="22"/>
                <w:szCs w:val="22"/>
              </w:rPr>
              <w:t>(b/c)</w:t>
            </w:r>
            <w:r w:rsidRPr="00BA7CF5">
              <w:rPr>
                <w:bCs/>
                <w:sz w:val="22"/>
                <w:szCs w:val="22"/>
                <w:lang w:val="vi-VN"/>
              </w:rPr>
              <w:t>;</w:t>
            </w:r>
          </w:p>
          <w:p w:rsidR="00EE2A74" w:rsidRPr="00BA7CF5" w:rsidRDefault="00EE2A74" w:rsidP="00EE2A74">
            <w:pPr>
              <w:jc w:val="both"/>
              <w:rPr>
                <w:bCs/>
                <w:lang w:val="vi-VN"/>
              </w:rPr>
            </w:pPr>
            <w:r w:rsidRPr="00BA7CF5">
              <w:rPr>
                <w:bCs/>
                <w:sz w:val="22"/>
                <w:szCs w:val="22"/>
                <w:lang w:val="vi-VN"/>
              </w:rPr>
              <w:t xml:space="preserve">- </w:t>
            </w:r>
            <w:r w:rsidR="00CE60F4">
              <w:rPr>
                <w:bCs/>
                <w:sz w:val="22"/>
                <w:szCs w:val="22"/>
              </w:rPr>
              <w:t>CT, c</w:t>
            </w:r>
            <w:r w:rsidRPr="00BA7CF5">
              <w:rPr>
                <w:bCs/>
                <w:sz w:val="22"/>
                <w:szCs w:val="22"/>
                <w:lang w:val="vi-VN"/>
              </w:rPr>
              <w:t>ác PCT UBND tỉnh;</w:t>
            </w:r>
          </w:p>
          <w:p w:rsidR="00EE2A74" w:rsidRPr="00BA7CF5" w:rsidRDefault="00EE2A74" w:rsidP="00EE2A74">
            <w:pPr>
              <w:jc w:val="both"/>
              <w:rPr>
                <w:bCs/>
                <w:lang w:val="vi-VN"/>
              </w:rPr>
            </w:pPr>
            <w:r w:rsidRPr="00BA7CF5">
              <w:rPr>
                <w:bCs/>
                <w:sz w:val="22"/>
                <w:szCs w:val="22"/>
                <w:lang w:val="vi-VN"/>
              </w:rPr>
              <w:t>- Ban Nội chính Tỉnh ủy;</w:t>
            </w:r>
          </w:p>
          <w:p w:rsidR="00CF3DBF" w:rsidRPr="006D1590" w:rsidRDefault="00CF3DBF" w:rsidP="00DC42E6">
            <w:pPr>
              <w:jc w:val="both"/>
              <w:rPr>
                <w:sz w:val="22"/>
              </w:rPr>
            </w:pPr>
            <w:r w:rsidRPr="006D1590">
              <w:rPr>
                <w:sz w:val="22"/>
              </w:rPr>
              <w:t>- VPUB: LĐ, KTTH, VXNV;</w:t>
            </w:r>
          </w:p>
          <w:p w:rsidR="00CF3DBF" w:rsidRPr="00171436" w:rsidRDefault="00CF3DBF" w:rsidP="00CE60F4">
            <w:pPr>
              <w:jc w:val="both"/>
            </w:pPr>
            <w:r w:rsidRPr="006D1590">
              <w:rPr>
                <w:sz w:val="22"/>
              </w:rPr>
              <w:t>- Lưu:</w:t>
            </w:r>
            <w:r w:rsidRPr="006D1590">
              <w:rPr>
                <w:sz w:val="22"/>
                <w:lang w:val="vi-VN"/>
              </w:rPr>
              <w:t xml:space="preserve"> VT</w:t>
            </w:r>
            <w:r w:rsidR="00CE60F4">
              <w:rPr>
                <w:sz w:val="22"/>
              </w:rPr>
              <w:t>, TCD</w:t>
            </w:r>
            <w:r w:rsidRPr="006D1590">
              <w:rPr>
                <w:sz w:val="22"/>
              </w:rPr>
              <w:t>.</w:t>
            </w:r>
            <w:r w:rsidR="00CE60F4">
              <w:rPr>
                <w:sz w:val="22"/>
              </w:rPr>
              <w:t xml:space="preserve"> </w:t>
            </w:r>
            <w:r w:rsidR="00CE60F4" w:rsidRPr="00CE60F4">
              <w:rPr>
                <w:sz w:val="16"/>
              </w:rPr>
              <w:t>QMT</w:t>
            </w:r>
          </w:p>
        </w:tc>
        <w:tc>
          <w:tcPr>
            <w:tcW w:w="3828" w:type="dxa"/>
          </w:tcPr>
          <w:p w:rsidR="00CF3DBF" w:rsidRPr="00CF3DBF" w:rsidRDefault="00CE60F4" w:rsidP="00CE60F4">
            <w:pPr>
              <w:jc w:val="center"/>
              <w:rPr>
                <w:b/>
                <w:sz w:val="28"/>
                <w:szCs w:val="28"/>
              </w:rPr>
            </w:pPr>
            <w:r>
              <w:rPr>
                <w:b/>
                <w:sz w:val="28"/>
                <w:szCs w:val="28"/>
              </w:rPr>
              <w:t xml:space="preserve">KT. </w:t>
            </w:r>
            <w:r w:rsidR="00CF3DBF" w:rsidRPr="00CF3DBF">
              <w:rPr>
                <w:b/>
                <w:sz w:val="28"/>
                <w:szCs w:val="28"/>
              </w:rPr>
              <w:t>CHỦ TỊCH</w:t>
            </w:r>
          </w:p>
          <w:p w:rsidR="00CF3DBF" w:rsidRPr="00CF3DBF" w:rsidRDefault="00CE60F4" w:rsidP="00CE60F4">
            <w:pPr>
              <w:jc w:val="center"/>
              <w:rPr>
                <w:b/>
                <w:sz w:val="28"/>
                <w:szCs w:val="28"/>
              </w:rPr>
            </w:pPr>
            <w:r>
              <w:rPr>
                <w:b/>
                <w:sz w:val="28"/>
                <w:szCs w:val="28"/>
              </w:rPr>
              <w:t xml:space="preserve">PHÓ </w:t>
            </w:r>
            <w:r w:rsidRPr="00CF3DBF">
              <w:rPr>
                <w:b/>
                <w:sz w:val="28"/>
                <w:szCs w:val="28"/>
              </w:rPr>
              <w:t>CHỦ TỊCH</w:t>
            </w:r>
          </w:p>
          <w:p w:rsidR="00CF3DBF" w:rsidRPr="00171436" w:rsidRDefault="00CF3DBF" w:rsidP="00DC42E6">
            <w:pPr>
              <w:jc w:val="center"/>
              <w:rPr>
                <w:b/>
                <w:szCs w:val="28"/>
              </w:rPr>
            </w:pPr>
          </w:p>
          <w:p w:rsidR="00CF3DBF" w:rsidRPr="00171436" w:rsidRDefault="00CF3DBF" w:rsidP="00DC42E6">
            <w:pPr>
              <w:tabs>
                <w:tab w:val="left" w:pos="240"/>
              </w:tabs>
              <w:rPr>
                <w:b/>
                <w:szCs w:val="28"/>
              </w:rPr>
            </w:pPr>
          </w:p>
          <w:p w:rsidR="00CF3DBF" w:rsidRDefault="00CF3DBF" w:rsidP="00DC42E6">
            <w:pPr>
              <w:tabs>
                <w:tab w:val="left" w:pos="240"/>
              </w:tabs>
              <w:jc w:val="center"/>
              <w:rPr>
                <w:b/>
                <w:szCs w:val="28"/>
              </w:rPr>
            </w:pPr>
          </w:p>
          <w:p w:rsidR="00CE60F4" w:rsidRDefault="00CE60F4" w:rsidP="00DC42E6">
            <w:pPr>
              <w:tabs>
                <w:tab w:val="left" w:pos="240"/>
              </w:tabs>
              <w:jc w:val="center"/>
              <w:rPr>
                <w:b/>
                <w:szCs w:val="28"/>
              </w:rPr>
            </w:pPr>
          </w:p>
          <w:p w:rsidR="003D186B" w:rsidRDefault="003D186B" w:rsidP="00DC42E6">
            <w:pPr>
              <w:tabs>
                <w:tab w:val="left" w:pos="240"/>
              </w:tabs>
              <w:jc w:val="center"/>
              <w:rPr>
                <w:b/>
                <w:szCs w:val="28"/>
              </w:rPr>
            </w:pPr>
          </w:p>
          <w:p w:rsidR="00CE60F4" w:rsidRPr="00171436" w:rsidRDefault="00CE60F4" w:rsidP="00DC42E6">
            <w:pPr>
              <w:tabs>
                <w:tab w:val="left" w:pos="240"/>
              </w:tabs>
              <w:jc w:val="center"/>
              <w:rPr>
                <w:b/>
                <w:szCs w:val="28"/>
              </w:rPr>
            </w:pPr>
          </w:p>
          <w:p w:rsidR="00CF3DBF" w:rsidRPr="00171436" w:rsidRDefault="00CF3DBF" w:rsidP="00DC42E6">
            <w:pPr>
              <w:tabs>
                <w:tab w:val="left" w:pos="240"/>
              </w:tabs>
              <w:jc w:val="center"/>
              <w:rPr>
                <w:b/>
                <w:szCs w:val="28"/>
              </w:rPr>
            </w:pPr>
          </w:p>
          <w:p w:rsidR="00CF3DBF" w:rsidRPr="00171436" w:rsidRDefault="00CE60F4" w:rsidP="00DC42E6">
            <w:pPr>
              <w:jc w:val="center"/>
              <w:rPr>
                <w:b/>
                <w:szCs w:val="28"/>
              </w:rPr>
            </w:pPr>
            <w:proofErr w:type="spellStart"/>
            <w:r>
              <w:rPr>
                <w:b/>
                <w:sz w:val="28"/>
                <w:szCs w:val="28"/>
              </w:rPr>
              <w:t>Nguyễn</w:t>
            </w:r>
            <w:proofErr w:type="spellEnd"/>
            <w:r>
              <w:rPr>
                <w:b/>
                <w:sz w:val="28"/>
                <w:szCs w:val="28"/>
              </w:rPr>
              <w:t xml:space="preserve"> Long Biên</w:t>
            </w:r>
          </w:p>
        </w:tc>
      </w:tr>
    </w:tbl>
    <w:p w:rsidR="00012D18" w:rsidRPr="009F71F0" w:rsidRDefault="00012D18" w:rsidP="006E43CE">
      <w:pPr>
        <w:spacing w:before="60" w:after="60"/>
        <w:contextualSpacing/>
        <w:jc w:val="both"/>
        <w:rPr>
          <w:sz w:val="28"/>
          <w:szCs w:val="28"/>
        </w:rPr>
      </w:pPr>
    </w:p>
    <w:p w:rsidR="00012D18" w:rsidRPr="00BA7CF5" w:rsidRDefault="00012D18" w:rsidP="006E43CE">
      <w:pPr>
        <w:spacing w:before="60" w:after="60"/>
        <w:contextualSpacing/>
        <w:jc w:val="both"/>
        <w:rPr>
          <w:sz w:val="28"/>
          <w:szCs w:val="28"/>
          <w:lang w:val="vi-VN"/>
        </w:rPr>
      </w:pPr>
    </w:p>
    <w:p w:rsidR="00012D18" w:rsidRPr="00BA7CF5" w:rsidRDefault="00012D18" w:rsidP="006E43CE">
      <w:pPr>
        <w:spacing w:before="60" w:after="60"/>
        <w:contextualSpacing/>
        <w:jc w:val="both"/>
        <w:rPr>
          <w:sz w:val="28"/>
          <w:szCs w:val="28"/>
          <w:lang w:val="vi-VN"/>
        </w:rPr>
      </w:pPr>
    </w:p>
    <w:p w:rsidR="00A15178" w:rsidRPr="006E43CE" w:rsidRDefault="00A15178">
      <w:pPr>
        <w:rPr>
          <w:lang w:val="vi-VN"/>
        </w:rPr>
      </w:pPr>
    </w:p>
    <w:sectPr w:rsidR="00A15178" w:rsidRPr="006E43CE" w:rsidSect="007F1416">
      <w:headerReference w:type="default" r:id="rId9"/>
      <w:footerReference w:type="default" r:id="rId10"/>
      <w:footerReference w:type="first" r:id="rId11"/>
      <w:pgSz w:w="11907" w:h="16840" w:code="9"/>
      <w:pgMar w:top="1134" w:right="1134" w:bottom="1134" w:left="1418" w:header="425" w:footer="27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8AB" w:rsidRDefault="001B08AB">
      <w:r>
        <w:separator/>
      </w:r>
    </w:p>
  </w:endnote>
  <w:endnote w:type="continuationSeparator" w:id="0">
    <w:p w:rsidR="001B08AB" w:rsidRDefault="001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82A" w:rsidRDefault="001B08AB">
    <w:pPr>
      <w:pStyle w:val="Footer"/>
      <w:jc w:val="right"/>
    </w:pPr>
  </w:p>
  <w:p w:rsidR="00F6582A" w:rsidRDefault="001B08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CCB" w:rsidRDefault="003C7CCB">
    <w:pPr>
      <w:pStyle w:val="Footer"/>
      <w:jc w:val="right"/>
    </w:pPr>
  </w:p>
  <w:p w:rsidR="003C7CCB" w:rsidRDefault="003C7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8AB" w:rsidRDefault="001B08AB">
      <w:r>
        <w:separator/>
      </w:r>
    </w:p>
  </w:footnote>
  <w:footnote w:type="continuationSeparator" w:id="0">
    <w:p w:rsidR="001B08AB" w:rsidRDefault="001B08AB">
      <w:r>
        <w:continuationSeparator/>
      </w:r>
    </w:p>
  </w:footnote>
  <w:footnote w:id="1">
    <w:p w:rsidR="00105A9D" w:rsidRPr="00105A9D" w:rsidRDefault="00105A9D" w:rsidP="000634D7">
      <w:pPr>
        <w:pStyle w:val="FootnoteText"/>
        <w:ind w:firstLine="567"/>
        <w:jc w:val="both"/>
      </w:pPr>
      <w:r w:rsidRPr="00105A9D">
        <w:rPr>
          <w:rStyle w:val="FootnoteReference"/>
        </w:rPr>
        <w:footnoteRef/>
      </w:r>
      <w:r w:rsidRPr="00105A9D">
        <w:t xml:space="preserve">Từ ngày 15/4/2019 đến ngày 15/12/2024, Công an tỉnh đã triệt phá 184 vụ/314 đối tượng </w:t>
      </w:r>
      <w:r w:rsidRPr="00105A9D">
        <w:rPr>
          <w:color w:val="000000"/>
        </w:rPr>
        <w:t>VPPL</w:t>
      </w:r>
      <w:r w:rsidRPr="00105A9D">
        <w:rPr>
          <w:color w:val="000000"/>
          <w:lang w:val="vi-VN"/>
        </w:rPr>
        <w:t xml:space="preserve"> liên quan đến hoạt động “tín dụng đen”</w:t>
      </w:r>
      <w:r w:rsidRPr="00105A9D">
        <w:rPr>
          <w:color w:val="000000"/>
        </w:rPr>
        <w:t>, qua đó đã k</w:t>
      </w:r>
      <w:r w:rsidRPr="00105A9D">
        <w:rPr>
          <w:color w:val="000000"/>
          <w:lang w:val="vi-VN"/>
        </w:rPr>
        <w:t>hởi tố</w:t>
      </w:r>
      <w:r w:rsidRPr="00105A9D">
        <w:rPr>
          <w:color w:val="000000"/>
        </w:rPr>
        <w:t xml:space="preserve"> 68 vụ/115 bị can và </w:t>
      </w:r>
      <w:r w:rsidRPr="00105A9D">
        <w:rPr>
          <w:color w:val="000000"/>
          <w:lang w:val="vi-VN"/>
        </w:rPr>
        <w:t xml:space="preserve">xử phạt hành chính </w:t>
      </w:r>
      <w:r w:rsidRPr="00105A9D">
        <w:rPr>
          <w:color w:val="000000"/>
        </w:rPr>
        <w:t xml:space="preserve">105 vụ/132 </w:t>
      </w:r>
      <w:r w:rsidRPr="00105A9D">
        <w:rPr>
          <w:color w:val="000000"/>
          <w:lang w:val="vi-VN"/>
        </w:rPr>
        <w:t>đối tượng</w:t>
      </w:r>
      <w:r w:rsidRPr="00105A9D">
        <w:rPr>
          <w:color w:val="000000"/>
        </w:rPr>
        <w:t xml:space="preserve"> với tổng số tiền hơn 1,5 </w:t>
      </w:r>
      <w:proofErr w:type="spellStart"/>
      <w:r w:rsidRPr="00105A9D">
        <w:rPr>
          <w:color w:val="000000"/>
        </w:rPr>
        <w:t>tỷ</w:t>
      </w:r>
      <w:proofErr w:type="spellEnd"/>
      <w:r w:rsidRPr="00105A9D">
        <w:rPr>
          <w:color w:val="000000"/>
        </w:rPr>
        <w:t xml:space="preserve"> đồng</w:t>
      </w:r>
      <w:r w:rsidRPr="00105A9D">
        <w:rPr>
          <w:color w:val="000000"/>
          <w:lang w:val="vi-VN"/>
        </w:rPr>
        <w:t xml:space="preserve">; xử phạt hành chính </w:t>
      </w:r>
      <w:r w:rsidRPr="00105A9D">
        <w:rPr>
          <w:color w:val="000000"/>
        </w:rPr>
        <w:t>125 cơ sở kinh doanh dịch vụ cầm đồ, Công ty tài chính với tổng số tiền hơn 800.000.000đ, truy thu nộp ngân sách nhà nước 261.000.000đ.</w:t>
      </w:r>
    </w:p>
  </w:footnote>
  <w:footnote w:id="2">
    <w:p w:rsidR="00224ACE" w:rsidRPr="008B7CC2" w:rsidRDefault="00224ACE" w:rsidP="000634D7">
      <w:pPr>
        <w:pStyle w:val="FootnoteText"/>
        <w:ind w:firstLine="567"/>
        <w:jc w:val="both"/>
      </w:pPr>
      <w:r w:rsidRPr="008B7CC2">
        <w:rPr>
          <w:rStyle w:val="FootnoteReference"/>
        </w:rPr>
        <w:footnoteRef/>
      </w:r>
      <w:r w:rsidR="00CB195F">
        <w:rPr>
          <w:color w:val="000000"/>
        </w:rPr>
        <w:t>Sử dụng n</w:t>
      </w:r>
      <w:r w:rsidRPr="008B7CC2">
        <w:rPr>
          <w:color w:val="000000"/>
        </w:rPr>
        <w:t>ền tảng web để quản lý, theo dõi hợp đồng cho vay; tổ chức quảng cáo, tiếp thị hoạt động cho vay trên mạng xã hội Facebook (chạy bài quảng cáo tự động); lập đường dây nóng tiếp nhận, tư vấn vay tiền “truyền thống kết hợp công nghệ”. Sau khi người vay liên hệ thì các đối tượng bố trí người đến nơi ở của những người vay để tìm hiểu thông tin, chụp hình, xác định nhân thân, công việc,… rồi mới cho vay</w:t>
      </w:r>
    </w:p>
  </w:footnote>
  <w:footnote w:id="3">
    <w:p w:rsidR="00D67D30" w:rsidRPr="00D67D30" w:rsidRDefault="00D67D30" w:rsidP="000634D7">
      <w:pPr>
        <w:spacing w:line="264" w:lineRule="auto"/>
        <w:ind w:firstLine="567"/>
        <w:jc w:val="both"/>
        <w:rPr>
          <w:color w:val="000000"/>
          <w:sz w:val="20"/>
          <w:szCs w:val="20"/>
        </w:rPr>
      </w:pPr>
      <w:r w:rsidRPr="00D67D30">
        <w:rPr>
          <w:rStyle w:val="FootnoteReference"/>
          <w:sz w:val="20"/>
          <w:szCs w:val="20"/>
        </w:rPr>
        <w:footnoteRef/>
      </w:r>
      <w:r w:rsidR="00E815D4">
        <w:rPr>
          <w:sz w:val="20"/>
          <w:szCs w:val="20"/>
        </w:rPr>
        <w:t xml:space="preserve">Tuyên truyền </w:t>
      </w:r>
      <w:r w:rsidRPr="00D67D30">
        <w:rPr>
          <w:color w:val="000000"/>
          <w:sz w:val="20"/>
          <w:szCs w:val="20"/>
        </w:rPr>
        <w:t xml:space="preserve">Nghị định số 19/NĐ-CP ngày 19/02/2019 của Chính Phủ quy định về họ, hụi, </w:t>
      </w:r>
      <w:proofErr w:type="spellStart"/>
      <w:r w:rsidRPr="00D67D30">
        <w:rPr>
          <w:color w:val="000000"/>
          <w:sz w:val="20"/>
          <w:szCs w:val="20"/>
        </w:rPr>
        <w:t>biêu</w:t>
      </w:r>
      <w:proofErr w:type="spellEnd"/>
      <w:r w:rsidRPr="00D67D30">
        <w:rPr>
          <w:color w:val="000000"/>
          <w:sz w:val="20"/>
          <w:szCs w:val="20"/>
        </w:rPr>
        <w:t>, phường; Chỉ thị số 16/CT-</w:t>
      </w:r>
      <w:proofErr w:type="spellStart"/>
      <w:r w:rsidRPr="00D67D30">
        <w:rPr>
          <w:color w:val="000000"/>
          <w:sz w:val="20"/>
          <w:szCs w:val="20"/>
        </w:rPr>
        <w:t>TTg</w:t>
      </w:r>
      <w:proofErr w:type="spellEnd"/>
      <w:r w:rsidRPr="00D67D30">
        <w:rPr>
          <w:color w:val="000000"/>
          <w:sz w:val="20"/>
          <w:szCs w:val="20"/>
        </w:rPr>
        <w:t xml:space="preserve"> ngày 27/5/2023 của Thủ tướng Chính phủ về tăng cường phòng ngừa, đấu tranh với tội phạm và vi phạm pháp luật liên quan đến tổ chức đánh bạc và đánh bạc sâu rộng trong quần chúng Nhân dân.</w:t>
      </w:r>
    </w:p>
    <w:p w:rsidR="00D67D30" w:rsidRDefault="00D67D3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634188"/>
      <w:docPartObj>
        <w:docPartGallery w:val="Page Numbers (Top of Page)"/>
        <w:docPartUnique/>
      </w:docPartObj>
    </w:sdtPr>
    <w:sdtEndPr>
      <w:rPr>
        <w:noProof/>
        <w:sz w:val="26"/>
        <w:szCs w:val="26"/>
      </w:rPr>
    </w:sdtEndPr>
    <w:sdtContent>
      <w:p w:rsidR="006E1D33" w:rsidRPr="00CE1C12" w:rsidRDefault="006E1D33" w:rsidP="00BC3847">
        <w:pPr>
          <w:pStyle w:val="Header"/>
          <w:jc w:val="center"/>
          <w:rPr>
            <w:sz w:val="26"/>
            <w:szCs w:val="26"/>
          </w:rPr>
        </w:pPr>
        <w:r w:rsidRPr="00CE1C12">
          <w:rPr>
            <w:sz w:val="26"/>
            <w:szCs w:val="26"/>
          </w:rPr>
          <w:fldChar w:fldCharType="begin"/>
        </w:r>
        <w:r w:rsidRPr="00CE1C12">
          <w:rPr>
            <w:sz w:val="26"/>
            <w:szCs w:val="26"/>
          </w:rPr>
          <w:instrText xml:space="preserve"> PAGE   \* MERGEFORMAT </w:instrText>
        </w:r>
        <w:r w:rsidRPr="00CE1C12">
          <w:rPr>
            <w:sz w:val="26"/>
            <w:szCs w:val="26"/>
          </w:rPr>
          <w:fldChar w:fldCharType="separate"/>
        </w:r>
        <w:r w:rsidR="00CE60F4">
          <w:rPr>
            <w:noProof/>
            <w:sz w:val="26"/>
            <w:szCs w:val="26"/>
          </w:rPr>
          <w:t>3</w:t>
        </w:r>
        <w:r w:rsidRPr="00CE1C12">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75A37"/>
    <w:multiLevelType w:val="hybridMultilevel"/>
    <w:tmpl w:val="D56C2840"/>
    <w:lvl w:ilvl="0" w:tplc="16F62D4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F1C"/>
    <w:rsid w:val="000001DE"/>
    <w:rsid w:val="00012D18"/>
    <w:rsid w:val="00020BAD"/>
    <w:rsid w:val="00031343"/>
    <w:rsid w:val="000443EF"/>
    <w:rsid w:val="00054815"/>
    <w:rsid w:val="00061543"/>
    <w:rsid w:val="000634D7"/>
    <w:rsid w:val="00066092"/>
    <w:rsid w:val="00070B95"/>
    <w:rsid w:val="00080957"/>
    <w:rsid w:val="00082272"/>
    <w:rsid w:val="00083100"/>
    <w:rsid w:val="00084586"/>
    <w:rsid w:val="0008533C"/>
    <w:rsid w:val="000936DE"/>
    <w:rsid w:val="00095F24"/>
    <w:rsid w:val="000A3DE8"/>
    <w:rsid w:val="000B2B72"/>
    <w:rsid w:val="000B46A6"/>
    <w:rsid w:val="000C1AA8"/>
    <w:rsid w:val="000C5349"/>
    <w:rsid w:val="000D18F2"/>
    <w:rsid w:val="000E0E81"/>
    <w:rsid w:val="001000E6"/>
    <w:rsid w:val="001053C6"/>
    <w:rsid w:val="00105A9D"/>
    <w:rsid w:val="0011146D"/>
    <w:rsid w:val="00113D21"/>
    <w:rsid w:val="00114FD3"/>
    <w:rsid w:val="001274A4"/>
    <w:rsid w:val="0013457B"/>
    <w:rsid w:val="00136DB1"/>
    <w:rsid w:val="00147AD2"/>
    <w:rsid w:val="00164C5A"/>
    <w:rsid w:val="0019749C"/>
    <w:rsid w:val="001A1BD1"/>
    <w:rsid w:val="001A7D2F"/>
    <w:rsid w:val="001B08AB"/>
    <w:rsid w:val="001B21EB"/>
    <w:rsid w:val="001B53F9"/>
    <w:rsid w:val="001D45CA"/>
    <w:rsid w:val="001D4CA1"/>
    <w:rsid w:val="001D576C"/>
    <w:rsid w:val="001D6C62"/>
    <w:rsid w:val="001E4348"/>
    <w:rsid w:val="001E435D"/>
    <w:rsid w:val="001F3969"/>
    <w:rsid w:val="001F5392"/>
    <w:rsid w:val="00200962"/>
    <w:rsid w:val="002234F4"/>
    <w:rsid w:val="00224ACE"/>
    <w:rsid w:val="00225361"/>
    <w:rsid w:val="002308F0"/>
    <w:rsid w:val="002327B7"/>
    <w:rsid w:val="002347D0"/>
    <w:rsid w:val="0023668B"/>
    <w:rsid w:val="00246F20"/>
    <w:rsid w:val="00264C78"/>
    <w:rsid w:val="00271467"/>
    <w:rsid w:val="00276483"/>
    <w:rsid w:val="00276487"/>
    <w:rsid w:val="00276709"/>
    <w:rsid w:val="0028135A"/>
    <w:rsid w:val="00282356"/>
    <w:rsid w:val="00283C67"/>
    <w:rsid w:val="002911F5"/>
    <w:rsid w:val="002912E8"/>
    <w:rsid w:val="00293A05"/>
    <w:rsid w:val="002A1BD4"/>
    <w:rsid w:val="002A55B4"/>
    <w:rsid w:val="002B12B6"/>
    <w:rsid w:val="002E7B2D"/>
    <w:rsid w:val="00300601"/>
    <w:rsid w:val="003043E1"/>
    <w:rsid w:val="00313639"/>
    <w:rsid w:val="003224D6"/>
    <w:rsid w:val="003253A8"/>
    <w:rsid w:val="00342470"/>
    <w:rsid w:val="00353DA6"/>
    <w:rsid w:val="003602B7"/>
    <w:rsid w:val="00360FAE"/>
    <w:rsid w:val="00366297"/>
    <w:rsid w:val="003667FA"/>
    <w:rsid w:val="0037398C"/>
    <w:rsid w:val="003825F8"/>
    <w:rsid w:val="003836F6"/>
    <w:rsid w:val="003920D0"/>
    <w:rsid w:val="00394762"/>
    <w:rsid w:val="003A2D96"/>
    <w:rsid w:val="003B08F9"/>
    <w:rsid w:val="003B250C"/>
    <w:rsid w:val="003C6257"/>
    <w:rsid w:val="003C7870"/>
    <w:rsid w:val="003C7CCB"/>
    <w:rsid w:val="003D186B"/>
    <w:rsid w:val="003D2E14"/>
    <w:rsid w:val="003D7FD6"/>
    <w:rsid w:val="003E0C06"/>
    <w:rsid w:val="003E1A3B"/>
    <w:rsid w:val="003E35EF"/>
    <w:rsid w:val="003E3CC5"/>
    <w:rsid w:val="003F31E7"/>
    <w:rsid w:val="00400F6A"/>
    <w:rsid w:val="00411A89"/>
    <w:rsid w:val="00411F3F"/>
    <w:rsid w:val="00422FC5"/>
    <w:rsid w:val="00427A1D"/>
    <w:rsid w:val="004352AA"/>
    <w:rsid w:val="004466E0"/>
    <w:rsid w:val="00451A14"/>
    <w:rsid w:val="00456847"/>
    <w:rsid w:val="00462EEC"/>
    <w:rsid w:val="00467861"/>
    <w:rsid w:val="00470B05"/>
    <w:rsid w:val="004A189F"/>
    <w:rsid w:val="004A1D6C"/>
    <w:rsid w:val="004A386C"/>
    <w:rsid w:val="004A758A"/>
    <w:rsid w:val="004B74D3"/>
    <w:rsid w:val="004C48C5"/>
    <w:rsid w:val="004C6638"/>
    <w:rsid w:val="004E4453"/>
    <w:rsid w:val="004E706F"/>
    <w:rsid w:val="004F3BE2"/>
    <w:rsid w:val="00500DD8"/>
    <w:rsid w:val="0050468D"/>
    <w:rsid w:val="005065E6"/>
    <w:rsid w:val="00510272"/>
    <w:rsid w:val="005108F6"/>
    <w:rsid w:val="00514A56"/>
    <w:rsid w:val="005164B6"/>
    <w:rsid w:val="0051746F"/>
    <w:rsid w:val="00522648"/>
    <w:rsid w:val="00530056"/>
    <w:rsid w:val="00537BFF"/>
    <w:rsid w:val="00537E9C"/>
    <w:rsid w:val="0054424C"/>
    <w:rsid w:val="005458C0"/>
    <w:rsid w:val="00553AAA"/>
    <w:rsid w:val="00555DFF"/>
    <w:rsid w:val="00565FD6"/>
    <w:rsid w:val="00566BD3"/>
    <w:rsid w:val="00570EC6"/>
    <w:rsid w:val="005732D2"/>
    <w:rsid w:val="005771D2"/>
    <w:rsid w:val="005800AE"/>
    <w:rsid w:val="00583691"/>
    <w:rsid w:val="00585BDB"/>
    <w:rsid w:val="005964D8"/>
    <w:rsid w:val="005A15A1"/>
    <w:rsid w:val="005C1D2D"/>
    <w:rsid w:val="005C3479"/>
    <w:rsid w:val="005C4C81"/>
    <w:rsid w:val="005D595E"/>
    <w:rsid w:val="005E6932"/>
    <w:rsid w:val="00606B0B"/>
    <w:rsid w:val="00611053"/>
    <w:rsid w:val="00622B67"/>
    <w:rsid w:val="00624102"/>
    <w:rsid w:val="00624818"/>
    <w:rsid w:val="0062719C"/>
    <w:rsid w:val="00645C1B"/>
    <w:rsid w:val="00653619"/>
    <w:rsid w:val="00663989"/>
    <w:rsid w:val="006721C6"/>
    <w:rsid w:val="00676E99"/>
    <w:rsid w:val="00677895"/>
    <w:rsid w:val="00686EB9"/>
    <w:rsid w:val="00696822"/>
    <w:rsid w:val="006A3378"/>
    <w:rsid w:val="006A3ABF"/>
    <w:rsid w:val="006B2651"/>
    <w:rsid w:val="006B27D3"/>
    <w:rsid w:val="006C0FDC"/>
    <w:rsid w:val="006C53A9"/>
    <w:rsid w:val="006D1F29"/>
    <w:rsid w:val="006D24EA"/>
    <w:rsid w:val="006E1D33"/>
    <w:rsid w:val="006E43CE"/>
    <w:rsid w:val="006F11C6"/>
    <w:rsid w:val="006F23E3"/>
    <w:rsid w:val="006F5C38"/>
    <w:rsid w:val="00702713"/>
    <w:rsid w:val="0070624A"/>
    <w:rsid w:val="00710DCD"/>
    <w:rsid w:val="00732D10"/>
    <w:rsid w:val="00732F24"/>
    <w:rsid w:val="0073698F"/>
    <w:rsid w:val="0073743D"/>
    <w:rsid w:val="00737B4E"/>
    <w:rsid w:val="007408E5"/>
    <w:rsid w:val="00757080"/>
    <w:rsid w:val="0076042B"/>
    <w:rsid w:val="00765AA8"/>
    <w:rsid w:val="00766FE8"/>
    <w:rsid w:val="0077082C"/>
    <w:rsid w:val="00770A60"/>
    <w:rsid w:val="00775D78"/>
    <w:rsid w:val="00783A0C"/>
    <w:rsid w:val="00785C48"/>
    <w:rsid w:val="00785FFF"/>
    <w:rsid w:val="00791291"/>
    <w:rsid w:val="007918A9"/>
    <w:rsid w:val="00792F4F"/>
    <w:rsid w:val="0079334F"/>
    <w:rsid w:val="007A2762"/>
    <w:rsid w:val="007B2E7D"/>
    <w:rsid w:val="007C0D56"/>
    <w:rsid w:val="007D2735"/>
    <w:rsid w:val="007E06F2"/>
    <w:rsid w:val="007E10E0"/>
    <w:rsid w:val="007E1C1B"/>
    <w:rsid w:val="007F1416"/>
    <w:rsid w:val="007F3AF9"/>
    <w:rsid w:val="00803E01"/>
    <w:rsid w:val="00805E1B"/>
    <w:rsid w:val="008108E7"/>
    <w:rsid w:val="00810CAD"/>
    <w:rsid w:val="00816B35"/>
    <w:rsid w:val="0082189A"/>
    <w:rsid w:val="008308EC"/>
    <w:rsid w:val="00832940"/>
    <w:rsid w:val="008358D0"/>
    <w:rsid w:val="0084058E"/>
    <w:rsid w:val="008407BC"/>
    <w:rsid w:val="008501B7"/>
    <w:rsid w:val="00853F4E"/>
    <w:rsid w:val="00866321"/>
    <w:rsid w:val="00874BBE"/>
    <w:rsid w:val="00884E6B"/>
    <w:rsid w:val="008A1D9B"/>
    <w:rsid w:val="008B1377"/>
    <w:rsid w:val="008B649A"/>
    <w:rsid w:val="008B7CC2"/>
    <w:rsid w:val="008C738B"/>
    <w:rsid w:val="008D37BF"/>
    <w:rsid w:val="008D5F5E"/>
    <w:rsid w:val="008D7260"/>
    <w:rsid w:val="008F190A"/>
    <w:rsid w:val="009058B8"/>
    <w:rsid w:val="0090693D"/>
    <w:rsid w:val="00924FD7"/>
    <w:rsid w:val="00932193"/>
    <w:rsid w:val="00943D04"/>
    <w:rsid w:val="009442E5"/>
    <w:rsid w:val="00956E75"/>
    <w:rsid w:val="00981F82"/>
    <w:rsid w:val="00984A63"/>
    <w:rsid w:val="009907AC"/>
    <w:rsid w:val="00992EBE"/>
    <w:rsid w:val="009938A8"/>
    <w:rsid w:val="00997CFF"/>
    <w:rsid w:val="009B359D"/>
    <w:rsid w:val="009B6B10"/>
    <w:rsid w:val="009B74BB"/>
    <w:rsid w:val="009B76BE"/>
    <w:rsid w:val="009C0261"/>
    <w:rsid w:val="009C5061"/>
    <w:rsid w:val="009E5F8A"/>
    <w:rsid w:val="009F71F0"/>
    <w:rsid w:val="00A04E0A"/>
    <w:rsid w:val="00A15178"/>
    <w:rsid w:val="00A17993"/>
    <w:rsid w:val="00A478B0"/>
    <w:rsid w:val="00A47DBB"/>
    <w:rsid w:val="00A51164"/>
    <w:rsid w:val="00A74FE3"/>
    <w:rsid w:val="00A862AA"/>
    <w:rsid w:val="00A939BB"/>
    <w:rsid w:val="00A93B09"/>
    <w:rsid w:val="00A9729E"/>
    <w:rsid w:val="00AA1AF4"/>
    <w:rsid w:val="00AA6FCC"/>
    <w:rsid w:val="00AA76A0"/>
    <w:rsid w:val="00AB3590"/>
    <w:rsid w:val="00AB4747"/>
    <w:rsid w:val="00AB6448"/>
    <w:rsid w:val="00AC0941"/>
    <w:rsid w:val="00AC6800"/>
    <w:rsid w:val="00AF1223"/>
    <w:rsid w:val="00AF2023"/>
    <w:rsid w:val="00AF54A9"/>
    <w:rsid w:val="00B06D8E"/>
    <w:rsid w:val="00B12A54"/>
    <w:rsid w:val="00B25137"/>
    <w:rsid w:val="00B2605C"/>
    <w:rsid w:val="00B4311C"/>
    <w:rsid w:val="00B45B51"/>
    <w:rsid w:val="00B77C3A"/>
    <w:rsid w:val="00B77FF8"/>
    <w:rsid w:val="00B83883"/>
    <w:rsid w:val="00B93DA7"/>
    <w:rsid w:val="00BA0631"/>
    <w:rsid w:val="00BA15C5"/>
    <w:rsid w:val="00BA350E"/>
    <w:rsid w:val="00BA4ACF"/>
    <w:rsid w:val="00BA7CF5"/>
    <w:rsid w:val="00BB7345"/>
    <w:rsid w:val="00BC015F"/>
    <w:rsid w:val="00BC0CF3"/>
    <w:rsid w:val="00BC10A1"/>
    <w:rsid w:val="00BC3847"/>
    <w:rsid w:val="00BD5FFF"/>
    <w:rsid w:val="00BE2E9F"/>
    <w:rsid w:val="00BE5101"/>
    <w:rsid w:val="00BE5120"/>
    <w:rsid w:val="00BF7018"/>
    <w:rsid w:val="00C00B22"/>
    <w:rsid w:val="00C13C85"/>
    <w:rsid w:val="00C13E25"/>
    <w:rsid w:val="00C23308"/>
    <w:rsid w:val="00C234DD"/>
    <w:rsid w:val="00C3083C"/>
    <w:rsid w:val="00C37713"/>
    <w:rsid w:val="00C57167"/>
    <w:rsid w:val="00C61B13"/>
    <w:rsid w:val="00C70397"/>
    <w:rsid w:val="00C71158"/>
    <w:rsid w:val="00C83A43"/>
    <w:rsid w:val="00C8554E"/>
    <w:rsid w:val="00C86322"/>
    <w:rsid w:val="00C90981"/>
    <w:rsid w:val="00C922BD"/>
    <w:rsid w:val="00C9613B"/>
    <w:rsid w:val="00CA11D4"/>
    <w:rsid w:val="00CA16E4"/>
    <w:rsid w:val="00CB195F"/>
    <w:rsid w:val="00CB2D08"/>
    <w:rsid w:val="00CC0908"/>
    <w:rsid w:val="00CC3B9C"/>
    <w:rsid w:val="00CC62E4"/>
    <w:rsid w:val="00CD17BF"/>
    <w:rsid w:val="00CD2C45"/>
    <w:rsid w:val="00CD3059"/>
    <w:rsid w:val="00CD3213"/>
    <w:rsid w:val="00CD32D1"/>
    <w:rsid w:val="00CD6065"/>
    <w:rsid w:val="00CE1B47"/>
    <w:rsid w:val="00CE1C12"/>
    <w:rsid w:val="00CE3251"/>
    <w:rsid w:val="00CE3FEA"/>
    <w:rsid w:val="00CE4912"/>
    <w:rsid w:val="00CE60C9"/>
    <w:rsid w:val="00CE60F4"/>
    <w:rsid w:val="00CF1D2C"/>
    <w:rsid w:val="00CF2471"/>
    <w:rsid w:val="00CF3DBF"/>
    <w:rsid w:val="00D04705"/>
    <w:rsid w:val="00D05723"/>
    <w:rsid w:val="00D0684C"/>
    <w:rsid w:val="00D07F6E"/>
    <w:rsid w:val="00D15062"/>
    <w:rsid w:val="00D240BE"/>
    <w:rsid w:val="00D32027"/>
    <w:rsid w:val="00D34F1C"/>
    <w:rsid w:val="00D46D07"/>
    <w:rsid w:val="00D47439"/>
    <w:rsid w:val="00D52477"/>
    <w:rsid w:val="00D54E5E"/>
    <w:rsid w:val="00D62589"/>
    <w:rsid w:val="00D63451"/>
    <w:rsid w:val="00D64D83"/>
    <w:rsid w:val="00D66269"/>
    <w:rsid w:val="00D67D30"/>
    <w:rsid w:val="00D71A10"/>
    <w:rsid w:val="00D7489E"/>
    <w:rsid w:val="00D860F0"/>
    <w:rsid w:val="00D932F8"/>
    <w:rsid w:val="00DA7128"/>
    <w:rsid w:val="00DB2E1B"/>
    <w:rsid w:val="00DB6535"/>
    <w:rsid w:val="00DB7FE2"/>
    <w:rsid w:val="00DC0176"/>
    <w:rsid w:val="00DC45AA"/>
    <w:rsid w:val="00DD5ABB"/>
    <w:rsid w:val="00DE28AA"/>
    <w:rsid w:val="00DF1177"/>
    <w:rsid w:val="00E03FFE"/>
    <w:rsid w:val="00E06204"/>
    <w:rsid w:val="00E07C51"/>
    <w:rsid w:val="00E204ED"/>
    <w:rsid w:val="00E21939"/>
    <w:rsid w:val="00E236E6"/>
    <w:rsid w:val="00E27D71"/>
    <w:rsid w:val="00E41DFB"/>
    <w:rsid w:val="00E50C5F"/>
    <w:rsid w:val="00E55A49"/>
    <w:rsid w:val="00E57DDC"/>
    <w:rsid w:val="00E6514A"/>
    <w:rsid w:val="00E65C6F"/>
    <w:rsid w:val="00E815D4"/>
    <w:rsid w:val="00E95EEE"/>
    <w:rsid w:val="00EA4EF2"/>
    <w:rsid w:val="00EB022C"/>
    <w:rsid w:val="00EB4F4D"/>
    <w:rsid w:val="00EC1FE4"/>
    <w:rsid w:val="00EE2A74"/>
    <w:rsid w:val="00F045A7"/>
    <w:rsid w:val="00F17AC7"/>
    <w:rsid w:val="00F314C4"/>
    <w:rsid w:val="00F522D4"/>
    <w:rsid w:val="00F66DD1"/>
    <w:rsid w:val="00F709A2"/>
    <w:rsid w:val="00F72477"/>
    <w:rsid w:val="00F74546"/>
    <w:rsid w:val="00F76955"/>
    <w:rsid w:val="00F836E6"/>
    <w:rsid w:val="00F83AF9"/>
    <w:rsid w:val="00F83CF6"/>
    <w:rsid w:val="00F84CD1"/>
    <w:rsid w:val="00FA0F26"/>
    <w:rsid w:val="00FB5136"/>
    <w:rsid w:val="00FC07A0"/>
    <w:rsid w:val="00FC1D96"/>
    <w:rsid w:val="00FC354A"/>
    <w:rsid w:val="00FD6608"/>
    <w:rsid w:val="00FD6B35"/>
    <w:rsid w:val="00FE102B"/>
    <w:rsid w:val="00FE3084"/>
    <w:rsid w:val="00FF1BFA"/>
    <w:rsid w:val="00FF6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F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4F1C"/>
    <w:pPr>
      <w:tabs>
        <w:tab w:val="center" w:pos="4680"/>
        <w:tab w:val="right" w:pos="9360"/>
      </w:tabs>
    </w:pPr>
  </w:style>
  <w:style w:type="character" w:customStyle="1" w:styleId="FooterChar">
    <w:name w:val="Footer Char"/>
    <w:basedOn w:val="DefaultParagraphFont"/>
    <w:link w:val="Footer"/>
    <w:uiPriority w:val="99"/>
    <w:rsid w:val="00D34F1C"/>
    <w:rPr>
      <w:rFonts w:ascii="Times New Roman" w:eastAsia="Times New Roman" w:hAnsi="Times New Roman" w:cs="Times New Roman"/>
      <w:sz w:val="24"/>
      <w:szCs w:val="24"/>
    </w:rPr>
  </w:style>
  <w:style w:type="paragraph" w:styleId="NormalWeb">
    <w:name w:val="Normal (Web)"/>
    <w:basedOn w:val="Normal"/>
    <w:uiPriority w:val="99"/>
    <w:unhideWhenUsed/>
    <w:rsid w:val="00D34F1C"/>
    <w:pPr>
      <w:spacing w:before="100" w:beforeAutospacing="1" w:after="100" w:afterAutospacing="1"/>
    </w:pPr>
  </w:style>
  <w:style w:type="character" w:styleId="Hyperlink">
    <w:name w:val="Hyperlink"/>
    <w:basedOn w:val="DefaultParagraphFont"/>
    <w:uiPriority w:val="99"/>
    <w:semiHidden/>
    <w:unhideWhenUsed/>
    <w:rsid w:val="00D34F1C"/>
    <w:rPr>
      <w:color w:val="0000FF"/>
      <w:u w:val="single"/>
    </w:rPr>
  </w:style>
  <w:style w:type="paragraph" w:styleId="Header">
    <w:name w:val="header"/>
    <w:basedOn w:val="Normal"/>
    <w:link w:val="HeaderChar"/>
    <w:uiPriority w:val="99"/>
    <w:unhideWhenUsed/>
    <w:rsid w:val="003C7CCB"/>
    <w:pPr>
      <w:tabs>
        <w:tab w:val="center" w:pos="4680"/>
        <w:tab w:val="right" w:pos="9360"/>
      </w:tabs>
    </w:pPr>
  </w:style>
  <w:style w:type="character" w:customStyle="1" w:styleId="HeaderChar">
    <w:name w:val="Header Char"/>
    <w:basedOn w:val="DefaultParagraphFont"/>
    <w:link w:val="Header"/>
    <w:uiPriority w:val="99"/>
    <w:rsid w:val="003C7CC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00AE"/>
    <w:rPr>
      <w:rFonts w:ascii="Tahoma" w:hAnsi="Tahoma" w:cs="Tahoma"/>
      <w:sz w:val="16"/>
      <w:szCs w:val="16"/>
    </w:rPr>
  </w:style>
  <w:style w:type="character" w:customStyle="1" w:styleId="BalloonTextChar">
    <w:name w:val="Balloon Text Char"/>
    <w:basedOn w:val="DefaultParagraphFont"/>
    <w:link w:val="BalloonText"/>
    <w:uiPriority w:val="99"/>
    <w:semiHidden/>
    <w:rsid w:val="005800AE"/>
    <w:rPr>
      <w:rFonts w:ascii="Tahoma" w:eastAsia="Times New Roman" w:hAnsi="Tahoma" w:cs="Tahoma"/>
      <w:sz w:val="16"/>
      <w:szCs w:val="16"/>
    </w:rPr>
  </w:style>
  <w:style w:type="paragraph" w:styleId="ListParagraph">
    <w:name w:val="List Paragraph"/>
    <w:basedOn w:val="Normal"/>
    <w:uiPriority w:val="34"/>
    <w:qFormat/>
    <w:rsid w:val="006B27D3"/>
    <w:pPr>
      <w:ind w:left="720"/>
      <w:contextualSpacing/>
    </w:pPr>
  </w:style>
  <w:style w:type="table" w:styleId="TableGrid">
    <w:name w:val="Table Grid"/>
    <w:basedOn w:val="TableNormal"/>
    <w:uiPriority w:val="59"/>
    <w:rsid w:val="006F23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05A9D"/>
    <w:rPr>
      <w:sz w:val="20"/>
      <w:szCs w:val="20"/>
    </w:rPr>
  </w:style>
  <w:style w:type="character" w:customStyle="1" w:styleId="FootnoteTextChar">
    <w:name w:val="Footnote Text Char"/>
    <w:basedOn w:val="DefaultParagraphFont"/>
    <w:link w:val="FootnoteText"/>
    <w:uiPriority w:val="99"/>
    <w:semiHidden/>
    <w:rsid w:val="00105A9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05A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F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4F1C"/>
    <w:pPr>
      <w:tabs>
        <w:tab w:val="center" w:pos="4680"/>
        <w:tab w:val="right" w:pos="9360"/>
      </w:tabs>
    </w:pPr>
  </w:style>
  <w:style w:type="character" w:customStyle="1" w:styleId="FooterChar">
    <w:name w:val="Footer Char"/>
    <w:basedOn w:val="DefaultParagraphFont"/>
    <w:link w:val="Footer"/>
    <w:uiPriority w:val="99"/>
    <w:rsid w:val="00D34F1C"/>
    <w:rPr>
      <w:rFonts w:ascii="Times New Roman" w:eastAsia="Times New Roman" w:hAnsi="Times New Roman" w:cs="Times New Roman"/>
      <w:sz w:val="24"/>
      <w:szCs w:val="24"/>
    </w:rPr>
  </w:style>
  <w:style w:type="paragraph" w:styleId="NormalWeb">
    <w:name w:val="Normal (Web)"/>
    <w:basedOn w:val="Normal"/>
    <w:uiPriority w:val="99"/>
    <w:unhideWhenUsed/>
    <w:rsid w:val="00D34F1C"/>
    <w:pPr>
      <w:spacing w:before="100" w:beforeAutospacing="1" w:after="100" w:afterAutospacing="1"/>
    </w:pPr>
  </w:style>
  <w:style w:type="character" w:styleId="Hyperlink">
    <w:name w:val="Hyperlink"/>
    <w:basedOn w:val="DefaultParagraphFont"/>
    <w:uiPriority w:val="99"/>
    <w:semiHidden/>
    <w:unhideWhenUsed/>
    <w:rsid w:val="00D34F1C"/>
    <w:rPr>
      <w:color w:val="0000FF"/>
      <w:u w:val="single"/>
    </w:rPr>
  </w:style>
  <w:style w:type="paragraph" w:styleId="Header">
    <w:name w:val="header"/>
    <w:basedOn w:val="Normal"/>
    <w:link w:val="HeaderChar"/>
    <w:uiPriority w:val="99"/>
    <w:unhideWhenUsed/>
    <w:rsid w:val="003C7CCB"/>
    <w:pPr>
      <w:tabs>
        <w:tab w:val="center" w:pos="4680"/>
        <w:tab w:val="right" w:pos="9360"/>
      </w:tabs>
    </w:pPr>
  </w:style>
  <w:style w:type="character" w:customStyle="1" w:styleId="HeaderChar">
    <w:name w:val="Header Char"/>
    <w:basedOn w:val="DefaultParagraphFont"/>
    <w:link w:val="Header"/>
    <w:uiPriority w:val="99"/>
    <w:rsid w:val="003C7CC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00AE"/>
    <w:rPr>
      <w:rFonts w:ascii="Tahoma" w:hAnsi="Tahoma" w:cs="Tahoma"/>
      <w:sz w:val="16"/>
      <w:szCs w:val="16"/>
    </w:rPr>
  </w:style>
  <w:style w:type="character" w:customStyle="1" w:styleId="BalloonTextChar">
    <w:name w:val="Balloon Text Char"/>
    <w:basedOn w:val="DefaultParagraphFont"/>
    <w:link w:val="BalloonText"/>
    <w:uiPriority w:val="99"/>
    <w:semiHidden/>
    <w:rsid w:val="005800AE"/>
    <w:rPr>
      <w:rFonts w:ascii="Tahoma" w:eastAsia="Times New Roman" w:hAnsi="Tahoma" w:cs="Tahoma"/>
      <w:sz w:val="16"/>
      <w:szCs w:val="16"/>
    </w:rPr>
  </w:style>
  <w:style w:type="paragraph" w:styleId="ListParagraph">
    <w:name w:val="List Paragraph"/>
    <w:basedOn w:val="Normal"/>
    <w:uiPriority w:val="34"/>
    <w:qFormat/>
    <w:rsid w:val="006B27D3"/>
    <w:pPr>
      <w:ind w:left="720"/>
      <w:contextualSpacing/>
    </w:pPr>
  </w:style>
  <w:style w:type="table" w:styleId="TableGrid">
    <w:name w:val="Table Grid"/>
    <w:basedOn w:val="TableNormal"/>
    <w:uiPriority w:val="59"/>
    <w:rsid w:val="006F23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05A9D"/>
    <w:rPr>
      <w:sz w:val="20"/>
      <w:szCs w:val="20"/>
    </w:rPr>
  </w:style>
  <w:style w:type="character" w:customStyle="1" w:styleId="FootnoteTextChar">
    <w:name w:val="Footnote Text Char"/>
    <w:basedOn w:val="DefaultParagraphFont"/>
    <w:link w:val="FootnoteText"/>
    <w:uiPriority w:val="99"/>
    <w:semiHidden/>
    <w:rsid w:val="00105A9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05A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6E8F6-C256-44D0-938F-280925B9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Manh Dung</cp:lastModifiedBy>
  <cp:revision>3</cp:revision>
  <cp:lastPrinted>2024-12-26T10:32:00Z</cp:lastPrinted>
  <dcterms:created xsi:type="dcterms:W3CDTF">2025-01-24T02:55:00Z</dcterms:created>
  <dcterms:modified xsi:type="dcterms:W3CDTF">2025-01-24T03:28:00Z</dcterms:modified>
</cp:coreProperties>
</file>