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jc w:val="center"/>
        <w:tblLook w:val="01E0"/>
      </w:tblPr>
      <w:tblGrid>
        <w:gridCol w:w="3369"/>
        <w:gridCol w:w="6095"/>
      </w:tblGrid>
      <w:tr w:rsidR="00FB7B82" w:rsidRPr="000F2C91" w:rsidTr="00A12D44">
        <w:trPr>
          <w:jc w:val="center"/>
        </w:trPr>
        <w:tc>
          <w:tcPr>
            <w:tcW w:w="3369" w:type="dxa"/>
            <w:shd w:val="clear" w:color="auto" w:fill="auto"/>
          </w:tcPr>
          <w:p w:rsidR="00FB7B82" w:rsidRPr="000F2C91" w:rsidRDefault="00FB7B82" w:rsidP="00A12D44">
            <w:pPr>
              <w:pStyle w:val="Heading1"/>
              <w:spacing w:before="0" w:after="0"/>
              <w:jc w:val="center"/>
              <w:rPr>
                <w:rFonts w:ascii="Times New Roman" w:hAnsi="Times New Roman" w:cs="Times New Roman"/>
                <w:sz w:val="28"/>
                <w:szCs w:val="26"/>
              </w:rPr>
            </w:pPr>
            <w:r w:rsidRPr="000F2C91">
              <w:rPr>
                <w:rFonts w:ascii="Times New Roman" w:hAnsi="Times New Roman" w:cs="Times New Roman"/>
                <w:sz w:val="28"/>
                <w:szCs w:val="26"/>
              </w:rPr>
              <w:t>ỦY BAN NHÂN DÂN</w:t>
            </w:r>
          </w:p>
          <w:p w:rsidR="00FB7B82" w:rsidRPr="000F2C91" w:rsidRDefault="00FB7B82" w:rsidP="00A12D44">
            <w:pPr>
              <w:pStyle w:val="Heading1"/>
              <w:spacing w:before="0" w:after="0"/>
              <w:jc w:val="center"/>
              <w:rPr>
                <w:rFonts w:ascii="Times New Roman" w:hAnsi="Times New Roman" w:cs="Times New Roman"/>
                <w:sz w:val="28"/>
                <w:szCs w:val="26"/>
              </w:rPr>
            </w:pPr>
            <w:r w:rsidRPr="000F2C91">
              <w:rPr>
                <w:rFonts w:ascii="Times New Roman" w:hAnsi="Times New Roman" w:cs="Times New Roman"/>
                <w:bCs w:val="0"/>
                <w:sz w:val="28"/>
                <w:szCs w:val="26"/>
              </w:rPr>
              <w:t>TỈNH NINH THUẬN</w:t>
            </w:r>
          </w:p>
        </w:tc>
        <w:tc>
          <w:tcPr>
            <w:tcW w:w="6095" w:type="dxa"/>
            <w:shd w:val="clear" w:color="auto" w:fill="auto"/>
          </w:tcPr>
          <w:p w:rsidR="00FB7B82" w:rsidRPr="000F2C91" w:rsidRDefault="00FB7B82" w:rsidP="00A12D44">
            <w:pPr>
              <w:pStyle w:val="Heading1"/>
              <w:spacing w:before="0" w:after="0"/>
              <w:rPr>
                <w:rFonts w:ascii="Times New Roman" w:hAnsi="Times New Roman" w:cs="Times New Roman"/>
                <w:sz w:val="28"/>
                <w:szCs w:val="26"/>
              </w:rPr>
            </w:pPr>
            <w:r w:rsidRPr="000F2C91">
              <w:rPr>
                <w:rFonts w:ascii="Times New Roman" w:hAnsi="Times New Roman" w:cs="Times New Roman"/>
                <w:sz w:val="28"/>
                <w:szCs w:val="26"/>
              </w:rPr>
              <w:t>CỘNG HÒA XÃ HỘI CHỦ NGHĨA VIỆT NAM</w:t>
            </w:r>
          </w:p>
          <w:p w:rsidR="00FB7B82" w:rsidRPr="000F2C91" w:rsidRDefault="00FB7B82" w:rsidP="00A12D44">
            <w:pPr>
              <w:pStyle w:val="Heading1"/>
              <w:spacing w:before="0" w:after="0"/>
              <w:jc w:val="center"/>
              <w:rPr>
                <w:rFonts w:ascii="Times New Roman" w:hAnsi="Times New Roman" w:cs="Times New Roman"/>
                <w:sz w:val="28"/>
                <w:szCs w:val="26"/>
              </w:rPr>
            </w:pPr>
            <w:r w:rsidRPr="000F2C91">
              <w:rPr>
                <w:rFonts w:ascii="Times New Roman" w:hAnsi="Times New Roman" w:cs="Times New Roman"/>
                <w:bCs w:val="0"/>
                <w:sz w:val="28"/>
                <w:szCs w:val="26"/>
              </w:rPr>
              <w:t>Độc lập - Tự do - Hạnh phúc</w:t>
            </w:r>
          </w:p>
        </w:tc>
      </w:tr>
      <w:tr w:rsidR="00FB7B82" w:rsidRPr="000F2C91" w:rsidTr="00A12D44">
        <w:trPr>
          <w:jc w:val="center"/>
        </w:trPr>
        <w:tc>
          <w:tcPr>
            <w:tcW w:w="3369" w:type="dxa"/>
            <w:shd w:val="clear" w:color="auto" w:fill="auto"/>
            <w:vAlign w:val="center"/>
          </w:tcPr>
          <w:p w:rsidR="00FB7B82" w:rsidRPr="000F2C91" w:rsidRDefault="00917945" w:rsidP="00A12D44">
            <w:pPr>
              <w:pStyle w:val="Heading1"/>
              <w:spacing w:before="0" w:after="10"/>
              <w:jc w:val="center"/>
              <w:rPr>
                <w:rFonts w:ascii="Times New Roman" w:hAnsi="Times New Roman" w:cs="Times New Roman"/>
                <w:b w:val="0"/>
                <w:sz w:val="26"/>
                <w:szCs w:val="26"/>
              </w:rPr>
            </w:pPr>
            <w:r w:rsidRPr="00917945">
              <w:rPr>
                <w:rFonts w:ascii="Times New Roman" w:hAnsi="Times New Roman" w:cs="Times New Roman"/>
                <w:b w:val="0"/>
                <w:bCs w:val="0"/>
                <w:i/>
                <w:iCs/>
                <w:noProof/>
                <w:sz w:val="26"/>
                <w:szCs w:val="26"/>
                <w:lang w:val="vi-VN" w:eastAsia="vi-VN"/>
              </w:rPr>
              <w:pict>
                <v:line id="Straight Connector 21" o:spid="_x0000_s1026" style="position:absolute;left:0;text-align:left;z-index:251661312;visibility:visible;mso-position-horizontal-relative:text;mso-position-vertical-relative:text" from="52.65pt,1.3pt" to="10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KbHgIAADc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"/>
              </w:pict>
            </w:r>
          </w:p>
          <w:p w:rsidR="00FB7B82" w:rsidRPr="000F2C91" w:rsidRDefault="00FB7B82" w:rsidP="00A12D44">
            <w:pPr>
              <w:pStyle w:val="Heading1"/>
              <w:spacing w:before="0" w:after="10"/>
              <w:jc w:val="center"/>
              <w:rPr>
                <w:rFonts w:ascii="Times New Roman" w:hAnsi="Times New Roman" w:cs="Times New Roman"/>
                <w:b w:val="0"/>
                <w:sz w:val="26"/>
                <w:szCs w:val="26"/>
              </w:rPr>
            </w:pPr>
            <w:r w:rsidRPr="000F2C91">
              <w:rPr>
                <w:rFonts w:ascii="Times New Roman" w:hAnsi="Times New Roman" w:cs="Times New Roman"/>
                <w:b w:val="0"/>
                <w:sz w:val="26"/>
                <w:szCs w:val="26"/>
              </w:rPr>
              <w:t>Số:          /QĐ-UBND</w:t>
            </w:r>
          </w:p>
        </w:tc>
        <w:tc>
          <w:tcPr>
            <w:tcW w:w="6095" w:type="dxa"/>
            <w:shd w:val="clear" w:color="auto" w:fill="auto"/>
            <w:vAlign w:val="center"/>
          </w:tcPr>
          <w:p w:rsidR="00FB7B82" w:rsidRPr="000F2C91" w:rsidRDefault="00917945" w:rsidP="00A12D44">
            <w:pPr>
              <w:spacing w:after="10"/>
              <w:jc w:val="center"/>
              <w:rPr>
                <w:i/>
                <w:sz w:val="26"/>
                <w:szCs w:val="26"/>
              </w:rPr>
            </w:pPr>
            <w:r w:rsidRPr="00917945">
              <w:rPr>
                <w:b/>
                <w:bCs/>
                <w:i/>
                <w:noProof/>
                <w:sz w:val="26"/>
                <w:szCs w:val="26"/>
                <w:lang w:val="vi-VN" w:eastAsia="vi-VN"/>
              </w:rPr>
              <w:pict>
                <v:line id="Straight Connector 20" o:spid="_x0000_s1043" style="position:absolute;left:0;text-align:left;z-index:251660288;visibility:visible;mso-position-horizontal-relative:text;mso-position-vertical-relative:text" from="60.25pt,1.8pt" to="23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io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"/>
              </w:pict>
            </w:r>
          </w:p>
          <w:p w:rsidR="00FB7B82" w:rsidRPr="000F2C91" w:rsidRDefault="00FB7B82" w:rsidP="00A12D44">
            <w:pPr>
              <w:spacing w:after="10"/>
              <w:jc w:val="center"/>
              <w:rPr>
                <w:i/>
                <w:sz w:val="26"/>
                <w:szCs w:val="26"/>
              </w:rPr>
            </w:pPr>
            <w:r w:rsidRPr="000F2C91">
              <w:rPr>
                <w:i/>
                <w:sz w:val="26"/>
                <w:szCs w:val="26"/>
              </w:rPr>
              <w:t xml:space="preserve">Ninh Thuận, ngày       tháng  </w:t>
            </w:r>
            <w:r w:rsidR="0054584B">
              <w:rPr>
                <w:i/>
                <w:sz w:val="26"/>
                <w:szCs w:val="26"/>
              </w:rPr>
              <w:t xml:space="preserve">    </w:t>
            </w:r>
            <w:r w:rsidRPr="000F2C91">
              <w:rPr>
                <w:i/>
                <w:sz w:val="26"/>
                <w:szCs w:val="26"/>
              </w:rPr>
              <w:t>năm 2024</w:t>
            </w:r>
          </w:p>
        </w:tc>
      </w:tr>
    </w:tbl>
    <w:p w:rsidR="00FB7B82" w:rsidRPr="000F2C91" w:rsidRDefault="00FB7B82" w:rsidP="00FB7B82">
      <w:pPr>
        <w:pStyle w:val="Heading1"/>
        <w:spacing w:before="0" w:after="0"/>
        <w:jc w:val="center"/>
        <w:rPr>
          <w:rFonts w:ascii="Times New Roman" w:hAnsi="Times New Roman" w:cs="Times New Roman"/>
          <w:szCs w:val="28"/>
        </w:rPr>
      </w:pPr>
    </w:p>
    <w:p w:rsidR="00FB7B82" w:rsidRPr="000F2C91" w:rsidRDefault="00FB7B82" w:rsidP="00FB7B82">
      <w:pPr>
        <w:pStyle w:val="Heading1"/>
        <w:spacing w:before="0" w:after="0"/>
        <w:jc w:val="center"/>
        <w:rPr>
          <w:rFonts w:ascii="Times New Roman" w:hAnsi="Times New Roman" w:cs="Times New Roman"/>
          <w:kern w:val="0"/>
          <w:sz w:val="16"/>
          <w:szCs w:val="28"/>
        </w:rPr>
      </w:pPr>
    </w:p>
    <w:p w:rsidR="00FB7B82" w:rsidRPr="000F2C91" w:rsidRDefault="00FB7B82" w:rsidP="00642F06">
      <w:pPr>
        <w:pStyle w:val="Heading1"/>
        <w:tabs>
          <w:tab w:val="center" w:pos="4677"/>
          <w:tab w:val="left" w:pos="7275"/>
          <w:tab w:val="right" w:pos="9355"/>
        </w:tabs>
        <w:spacing w:before="0" w:after="0"/>
        <w:rPr>
          <w:rFonts w:ascii="Times New Roman" w:hAnsi="Times New Roman" w:cs="Times New Roman"/>
          <w:kern w:val="0"/>
          <w:sz w:val="28"/>
          <w:szCs w:val="28"/>
        </w:rPr>
      </w:pPr>
      <w:r>
        <w:rPr>
          <w:rFonts w:ascii="Times New Roman" w:hAnsi="Times New Roman" w:cs="Times New Roman"/>
          <w:kern w:val="0"/>
          <w:sz w:val="28"/>
          <w:szCs w:val="28"/>
        </w:rPr>
        <w:tab/>
      </w:r>
      <w:r w:rsidRPr="000F2C91">
        <w:rPr>
          <w:rFonts w:ascii="Times New Roman" w:hAnsi="Times New Roman" w:cs="Times New Roman"/>
          <w:kern w:val="0"/>
          <w:sz w:val="28"/>
          <w:szCs w:val="28"/>
        </w:rPr>
        <w:t xml:space="preserve">QUYẾT ĐỊNH </w:t>
      </w:r>
      <w:r>
        <w:rPr>
          <w:rFonts w:ascii="Times New Roman" w:hAnsi="Times New Roman" w:cs="Times New Roman"/>
          <w:kern w:val="0"/>
          <w:sz w:val="28"/>
          <w:szCs w:val="28"/>
        </w:rPr>
        <w:tab/>
      </w:r>
      <w:r w:rsidR="00642F06">
        <w:rPr>
          <w:rFonts w:ascii="Times New Roman" w:hAnsi="Times New Roman" w:cs="Times New Roman"/>
          <w:kern w:val="0"/>
          <w:sz w:val="28"/>
          <w:szCs w:val="28"/>
        </w:rPr>
        <w:tab/>
      </w:r>
    </w:p>
    <w:p w:rsidR="00FB7B82" w:rsidRPr="000F2C91" w:rsidRDefault="00FB7B82" w:rsidP="00FB7B82">
      <w:pPr>
        <w:pStyle w:val="Heading3"/>
        <w:spacing w:before="0" w:after="0"/>
        <w:jc w:val="center"/>
        <w:rPr>
          <w:rFonts w:ascii="Times New Roman" w:hAnsi="Times New Roman"/>
          <w:sz w:val="28"/>
        </w:rPr>
      </w:pPr>
      <w:r w:rsidRPr="000F2C91">
        <w:rPr>
          <w:rFonts w:ascii="Times New Roman" w:hAnsi="Times New Roman"/>
          <w:sz w:val="28"/>
        </w:rPr>
        <w:t>Về việc giao chỉ tiêu biên chế công chức</w:t>
      </w:r>
    </w:p>
    <w:p w:rsidR="00FB7B82" w:rsidRPr="000F2C91" w:rsidRDefault="00FB7B82" w:rsidP="00FB7B82">
      <w:pPr>
        <w:pStyle w:val="Heading3"/>
        <w:spacing w:before="0" w:after="0"/>
        <w:jc w:val="center"/>
        <w:rPr>
          <w:rFonts w:ascii="Times New Roman" w:hAnsi="Times New Roman"/>
          <w:b w:val="0"/>
          <w:bCs w:val="0"/>
          <w:i/>
          <w:iCs/>
          <w:sz w:val="28"/>
        </w:rPr>
      </w:pPr>
      <w:r w:rsidRPr="000F2C91">
        <w:rPr>
          <w:rFonts w:ascii="Times New Roman" w:hAnsi="Times New Roman"/>
          <w:sz w:val="28"/>
        </w:rPr>
        <w:t xml:space="preserve"> đối với các cơ quan hành chính thuộc tỉnh Ninh Thuận năm 202</w:t>
      </w:r>
      <w:r>
        <w:rPr>
          <w:rFonts w:ascii="Times New Roman" w:hAnsi="Times New Roman"/>
          <w:sz w:val="28"/>
        </w:rPr>
        <w:t>5</w:t>
      </w:r>
    </w:p>
    <w:p w:rsidR="00FB7B82" w:rsidRPr="000F2C91" w:rsidRDefault="00FB7B82" w:rsidP="00FB7B82">
      <w:pPr>
        <w:tabs>
          <w:tab w:val="center" w:pos="4677"/>
          <w:tab w:val="left" w:pos="8175"/>
        </w:tabs>
        <w:rPr>
          <w:b/>
          <w:bCs/>
        </w:rPr>
      </w:pPr>
      <w:r>
        <w:rPr>
          <w:b/>
          <w:bCs/>
        </w:rPr>
        <w:tab/>
      </w:r>
      <w:r w:rsidR="00917945" w:rsidRPr="00917945">
        <w:rPr>
          <w:b/>
          <w:bCs/>
          <w:noProof/>
          <w:sz w:val="28"/>
          <w:szCs w:val="28"/>
          <w:lang w:val="vi-VN" w:eastAsia="vi-VN"/>
        </w:rPr>
        <w:pict>
          <v:line id="Straight Connector 19" o:spid="_x0000_s1042" style="position:absolute;z-index:251659264;visibility:visible;mso-position-horizontal-relative:text;mso-position-vertical-relative:text" from="180.35pt,2.35pt" to="29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a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hMs9lyMZ9hR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"/>
        </w:pict>
      </w:r>
      <w:r>
        <w:rPr>
          <w:b/>
          <w:bCs/>
        </w:rPr>
        <w:tab/>
      </w:r>
    </w:p>
    <w:p w:rsidR="00FB7B82" w:rsidRPr="000F2C91" w:rsidRDefault="00FB7B82" w:rsidP="00FB7B82">
      <w:pPr>
        <w:pStyle w:val="Heading2"/>
        <w:spacing w:after="120"/>
        <w:jc w:val="center"/>
        <w:rPr>
          <w:rFonts w:ascii="Times New Roman" w:hAnsi="Times New Roman" w:cs="Times New Roman"/>
          <w:i w:val="0"/>
          <w:iCs w:val="0"/>
        </w:rPr>
      </w:pPr>
      <w:r w:rsidRPr="000F2C91">
        <w:rPr>
          <w:rFonts w:ascii="Times New Roman" w:hAnsi="Times New Roman" w:cs="Times New Roman"/>
          <w:i w:val="0"/>
          <w:iCs w:val="0"/>
        </w:rPr>
        <w:t>ỦY BAN NHÂN DÂN TỈNH NINH THUẬN</w:t>
      </w:r>
    </w:p>
    <w:p w:rsidR="00FB7B82" w:rsidRPr="000F2C91" w:rsidRDefault="00FB7B82" w:rsidP="00FB7B82">
      <w:pPr>
        <w:jc w:val="center"/>
      </w:pPr>
    </w:p>
    <w:p w:rsidR="00FB7B82" w:rsidRPr="000F2C91" w:rsidRDefault="00FB7B82" w:rsidP="00453456">
      <w:pPr>
        <w:pStyle w:val="BodyTextIndent3"/>
        <w:spacing w:after="60"/>
        <w:ind w:left="0" w:firstLine="720"/>
        <w:jc w:val="both"/>
        <w:rPr>
          <w:i/>
          <w:sz w:val="28"/>
          <w:szCs w:val="28"/>
        </w:rPr>
      </w:pPr>
      <w:r w:rsidRPr="000F2C91">
        <w:rPr>
          <w:i/>
          <w:sz w:val="28"/>
          <w:szCs w:val="28"/>
        </w:rPr>
        <w:t>Căn cứ Luật Tổ chức chính quyền địa phương ngày 19/6/2015;</w:t>
      </w:r>
    </w:p>
    <w:p w:rsidR="00FB7B82" w:rsidRPr="000F2C91" w:rsidRDefault="00FB7B82" w:rsidP="00453456">
      <w:pPr>
        <w:pStyle w:val="BodyTextIndent3"/>
        <w:spacing w:after="60"/>
        <w:ind w:left="0" w:firstLine="720"/>
        <w:jc w:val="both"/>
        <w:rPr>
          <w:i/>
          <w:sz w:val="28"/>
          <w:szCs w:val="28"/>
        </w:rPr>
      </w:pPr>
      <w:r w:rsidRPr="000F2C91">
        <w:rPr>
          <w:i/>
          <w:sz w:val="28"/>
          <w:szCs w:val="28"/>
        </w:rPr>
        <w:t>Căn cứ Luật Sửa đổi, bổ sung một số điều của Luật Tổ chức Chính phủ và Luật Tổ chức chính quyền địa phương ngày 22/11/2019;</w:t>
      </w:r>
    </w:p>
    <w:p w:rsidR="00FB7B82" w:rsidRPr="000F2C91" w:rsidRDefault="00FB7B82" w:rsidP="00453456">
      <w:pPr>
        <w:pStyle w:val="BodyTextIndent3"/>
        <w:spacing w:after="60"/>
        <w:ind w:left="0" w:firstLine="720"/>
        <w:jc w:val="both"/>
        <w:rPr>
          <w:i/>
          <w:sz w:val="28"/>
          <w:szCs w:val="28"/>
        </w:rPr>
      </w:pPr>
      <w:r w:rsidRPr="000F2C91">
        <w:rPr>
          <w:i/>
          <w:sz w:val="28"/>
          <w:szCs w:val="28"/>
        </w:rPr>
        <w:t xml:space="preserve">Căn cứ Nghị định số 62/2020/NĐ-CP ngày 01/6/2020 của Chính phủ về vị trí việc làm và biên chế công chức; </w:t>
      </w:r>
    </w:p>
    <w:p w:rsidR="00FB7B82" w:rsidRPr="00BE513A" w:rsidRDefault="00FB7B82" w:rsidP="00453456">
      <w:pPr>
        <w:pStyle w:val="BodyTextIndent3"/>
        <w:spacing w:after="60"/>
        <w:ind w:left="0" w:firstLine="720"/>
        <w:jc w:val="both"/>
        <w:rPr>
          <w:i/>
          <w:spacing w:val="-4"/>
          <w:sz w:val="28"/>
          <w:szCs w:val="28"/>
        </w:rPr>
      </w:pPr>
      <w:r w:rsidRPr="00BE513A">
        <w:rPr>
          <w:i/>
          <w:spacing w:val="-4"/>
          <w:sz w:val="28"/>
          <w:szCs w:val="28"/>
        </w:rPr>
        <w:t>Căn cứ Quyết định số 1101-QĐ/TU ngày 09/11/2022 của Ban Thường vụ Tỉnh ủy về giao biên chế chính quyền địa phương tỉnh Ninh Thuận giai đoạn 2022-2026; Quyết định số 2684-QĐ/TU ngày 28/11/2024 của Ban Thường vụ Tỉnh ủy giao biên chế chính quyền địa phương tỉnh Ninh Thuận năm 2025;</w:t>
      </w:r>
    </w:p>
    <w:p w:rsidR="00FB7B82" w:rsidRPr="00193115" w:rsidRDefault="00FB7B82" w:rsidP="00453456">
      <w:pPr>
        <w:pStyle w:val="BodyTextIndent3"/>
        <w:spacing w:after="60"/>
        <w:ind w:left="0" w:firstLine="720"/>
        <w:jc w:val="both"/>
        <w:rPr>
          <w:i/>
          <w:sz w:val="28"/>
          <w:szCs w:val="28"/>
        </w:rPr>
      </w:pPr>
      <w:r w:rsidRPr="00193115">
        <w:rPr>
          <w:i/>
          <w:sz w:val="28"/>
          <w:szCs w:val="28"/>
        </w:rPr>
        <w:t xml:space="preserve">Căn cứ Nghị quyết số </w:t>
      </w:r>
      <w:r>
        <w:rPr>
          <w:i/>
          <w:sz w:val="28"/>
          <w:szCs w:val="28"/>
        </w:rPr>
        <w:t>59/NQ-HĐND ngày 10/12/2024 của Hội đồng nhân dân tỉnh</w:t>
      </w:r>
      <w:r w:rsidRPr="00193115">
        <w:rPr>
          <w:i/>
          <w:sz w:val="28"/>
          <w:szCs w:val="28"/>
        </w:rPr>
        <w:t xml:space="preserve"> về việc giao biên chế công chức cấp tỉnh, cấp huyện; số lượng người làm việc hưởng lương từ ngân sách nhà nước trong các đơn vị sự nghiệp công lập; biên chế Hội và số lượng cán bộ, công chức, người hoạt động không chuyên trách ở</w:t>
      </w:r>
      <w:r>
        <w:rPr>
          <w:i/>
          <w:sz w:val="28"/>
          <w:szCs w:val="28"/>
        </w:rPr>
        <w:t xml:space="preserve"> cấp xã tỉnh Ninh Thuận năm 2025</w:t>
      </w:r>
      <w:r w:rsidRPr="00193115">
        <w:rPr>
          <w:i/>
          <w:sz w:val="28"/>
          <w:szCs w:val="28"/>
        </w:rPr>
        <w:t>;</w:t>
      </w:r>
    </w:p>
    <w:p w:rsidR="00FB7B82" w:rsidRPr="000F2C91" w:rsidRDefault="00FB7B82" w:rsidP="00453456">
      <w:pPr>
        <w:pStyle w:val="BodyTextIndent3"/>
        <w:spacing w:after="60"/>
        <w:ind w:left="0" w:firstLine="720"/>
        <w:jc w:val="both"/>
        <w:rPr>
          <w:i/>
          <w:sz w:val="28"/>
          <w:szCs w:val="28"/>
        </w:rPr>
      </w:pPr>
      <w:r w:rsidRPr="000F2C91">
        <w:rPr>
          <w:i/>
          <w:sz w:val="28"/>
          <w:szCs w:val="28"/>
        </w:rPr>
        <w:t>Theo đề nghị của Giám đốc Sở Nội vụ tại Tờ trình số</w:t>
      </w:r>
      <w:r w:rsidR="002D64CA">
        <w:rPr>
          <w:i/>
          <w:sz w:val="28"/>
          <w:szCs w:val="28"/>
        </w:rPr>
        <w:t xml:space="preserve"> 5192</w:t>
      </w:r>
      <w:r w:rsidRPr="000F2C91">
        <w:rPr>
          <w:i/>
          <w:sz w:val="28"/>
          <w:szCs w:val="28"/>
        </w:rPr>
        <w:t xml:space="preserve">/TTr-SNV ngày </w:t>
      </w:r>
      <w:r w:rsidR="002D64CA">
        <w:rPr>
          <w:i/>
          <w:sz w:val="28"/>
          <w:szCs w:val="28"/>
        </w:rPr>
        <w:t>27</w:t>
      </w:r>
      <w:r w:rsidRPr="000F2C91">
        <w:rPr>
          <w:i/>
          <w:sz w:val="28"/>
          <w:szCs w:val="28"/>
        </w:rPr>
        <w:t>/</w:t>
      </w:r>
      <w:r>
        <w:rPr>
          <w:i/>
          <w:sz w:val="28"/>
          <w:szCs w:val="28"/>
        </w:rPr>
        <w:t>12</w:t>
      </w:r>
      <w:r w:rsidRPr="000F2C91">
        <w:rPr>
          <w:i/>
          <w:sz w:val="28"/>
          <w:szCs w:val="28"/>
        </w:rPr>
        <w:t>/2024.</w:t>
      </w:r>
    </w:p>
    <w:p w:rsidR="00FB7B82" w:rsidRPr="000F2C91" w:rsidRDefault="00FB7B82" w:rsidP="00FB7B82">
      <w:pPr>
        <w:pStyle w:val="Heading5"/>
        <w:spacing w:before="360" w:after="360"/>
        <w:ind w:left="0" w:right="0"/>
        <w:rPr>
          <w:bCs/>
          <w:color w:val="auto"/>
          <w:sz w:val="28"/>
          <w:szCs w:val="28"/>
        </w:rPr>
      </w:pPr>
      <w:r w:rsidRPr="000F2C91">
        <w:rPr>
          <w:bCs/>
          <w:color w:val="auto"/>
          <w:sz w:val="28"/>
          <w:szCs w:val="28"/>
        </w:rPr>
        <w:t>QUYẾT ĐỊNH:</w:t>
      </w:r>
    </w:p>
    <w:p w:rsidR="00FB7B82" w:rsidRPr="000F2C91" w:rsidRDefault="00FB7B82" w:rsidP="00453456">
      <w:pPr>
        <w:pStyle w:val="Heading3"/>
        <w:spacing w:before="0"/>
        <w:ind w:firstLine="720"/>
        <w:jc w:val="both"/>
        <w:rPr>
          <w:rFonts w:ascii="Times New Roman" w:hAnsi="Times New Roman"/>
          <w:b w:val="0"/>
          <w:bCs w:val="0"/>
          <w:iCs/>
          <w:sz w:val="28"/>
          <w:szCs w:val="28"/>
        </w:rPr>
      </w:pPr>
      <w:r w:rsidRPr="000F2C91">
        <w:rPr>
          <w:rFonts w:ascii="Times New Roman" w:hAnsi="Times New Roman"/>
          <w:bCs w:val="0"/>
          <w:iCs/>
          <w:sz w:val="28"/>
          <w:szCs w:val="28"/>
        </w:rPr>
        <w:t>Điều 1.</w:t>
      </w:r>
      <w:r w:rsidR="002D64CA">
        <w:rPr>
          <w:rFonts w:ascii="Times New Roman" w:hAnsi="Times New Roman"/>
          <w:bCs w:val="0"/>
          <w:iCs/>
          <w:sz w:val="28"/>
          <w:szCs w:val="28"/>
        </w:rPr>
        <w:t xml:space="preserve"> </w:t>
      </w:r>
      <w:r w:rsidRPr="00193115">
        <w:rPr>
          <w:rFonts w:ascii="Times New Roman" w:hAnsi="Times New Roman"/>
          <w:b w:val="0"/>
          <w:bCs w:val="0"/>
          <w:iCs/>
          <w:sz w:val="28"/>
          <w:szCs w:val="28"/>
        </w:rPr>
        <w:t xml:space="preserve">Giao </w:t>
      </w:r>
      <w:r w:rsidRPr="00193115">
        <w:rPr>
          <w:rFonts w:ascii="Times New Roman" w:hAnsi="Times New Roman"/>
          <w:bCs w:val="0"/>
          <w:iCs/>
          <w:sz w:val="28"/>
          <w:szCs w:val="28"/>
        </w:rPr>
        <w:t>1.6</w:t>
      </w:r>
      <w:r>
        <w:rPr>
          <w:rFonts w:ascii="Times New Roman" w:hAnsi="Times New Roman"/>
          <w:bCs w:val="0"/>
          <w:iCs/>
          <w:sz w:val="28"/>
          <w:szCs w:val="28"/>
        </w:rPr>
        <w:t>08</w:t>
      </w:r>
      <w:r w:rsidR="002D64CA">
        <w:rPr>
          <w:rFonts w:ascii="Times New Roman" w:hAnsi="Times New Roman"/>
          <w:bCs w:val="0"/>
          <w:iCs/>
          <w:sz w:val="28"/>
          <w:szCs w:val="28"/>
        </w:rPr>
        <w:t xml:space="preserve"> </w:t>
      </w:r>
      <w:r w:rsidRPr="000F2C91">
        <w:rPr>
          <w:rFonts w:ascii="Times New Roman" w:hAnsi="Times New Roman"/>
          <w:b w:val="0"/>
          <w:bCs w:val="0"/>
          <w:iCs/>
          <w:sz w:val="28"/>
          <w:szCs w:val="28"/>
        </w:rPr>
        <w:t>biên chế công chức hành chính đối với các cơ quan hành chính thuộc tỉnh Ninh Thuận năm 202</w:t>
      </w:r>
      <w:r>
        <w:rPr>
          <w:rFonts w:ascii="Times New Roman" w:hAnsi="Times New Roman"/>
          <w:b w:val="0"/>
          <w:bCs w:val="0"/>
          <w:iCs/>
          <w:sz w:val="28"/>
          <w:szCs w:val="28"/>
        </w:rPr>
        <w:t>5</w:t>
      </w:r>
      <w:r w:rsidR="002D64CA">
        <w:rPr>
          <w:rFonts w:ascii="Times New Roman" w:hAnsi="Times New Roman"/>
          <w:b w:val="0"/>
          <w:bCs w:val="0"/>
          <w:iCs/>
          <w:sz w:val="28"/>
          <w:szCs w:val="28"/>
        </w:rPr>
        <w:t xml:space="preserve"> </w:t>
      </w:r>
      <w:r w:rsidRPr="000F2C91">
        <w:rPr>
          <w:rFonts w:ascii="Times New Roman" w:hAnsi="Times New Roman"/>
          <w:b w:val="0"/>
          <w:bCs w:val="0"/>
          <w:i/>
          <w:iCs/>
          <w:sz w:val="28"/>
          <w:szCs w:val="28"/>
        </w:rPr>
        <w:t>(theo Phụ lục đính kèm)</w:t>
      </w:r>
      <w:r w:rsidRPr="000F2C91">
        <w:rPr>
          <w:rFonts w:ascii="Times New Roman" w:hAnsi="Times New Roman"/>
          <w:b w:val="0"/>
          <w:bCs w:val="0"/>
          <w:iCs/>
          <w:sz w:val="28"/>
          <w:szCs w:val="28"/>
        </w:rPr>
        <w:t>.</w:t>
      </w:r>
    </w:p>
    <w:p w:rsidR="00FB7B82" w:rsidRPr="000F2C91" w:rsidRDefault="00FB7B82" w:rsidP="00453456">
      <w:pPr>
        <w:pStyle w:val="BodyText"/>
        <w:spacing w:after="60"/>
        <w:ind w:firstLine="720"/>
        <w:rPr>
          <w:color w:val="auto"/>
        </w:rPr>
      </w:pPr>
      <w:r w:rsidRPr="000F2C91">
        <w:rPr>
          <w:b/>
          <w:bCs/>
          <w:color w:val="auto"/>
        </w:rPr>
        <w:t>Điều 2</w:t>
      </w:r>
      <w:r w:rsidRPr="000F2C91">
        <w:rPr>
          <w:color w:val="auto"/>
        </w:rPr>
        <w:t>. Tổ chức thực hiện</w:t>
      </w:r>
    </w:p>
    <w:p w:rsidR="00FB7B82" w:rsidRPr="000F2C91" w:rsidRDefault="00FB7B82" w:rsidP="00453456">
      <w:pPr>
        <w:pStyle w:val="BodyText"/>
        <w:spacing w:after="60"/>
        <w:ind w:firstLine="720"/>
        <w:rPr>
          <w:color w:val="auto"/>
        </w:rPr>
      </w:pPr>
      <w:r w:rsidRPr="000F2C91">
        <w:rPr>
          <w:color w:val="auto"/>
        </w:rPr>
        <w:t>1. Thủ trưởng các cơ quan, tổ chức hành chính nêu tại Điều 1 có trách nhiệm:</w:t>
      </w:r>
    </w:p>
    <w:p w:rsidR="00FB7B82" w:rsidRPr="000F2C91" w:rsidRDefault="00FB7B82" w:rsidP="00453456">
      <w:pPr>
        <w:pStyle w:val="BodyText"/>
        <w:spacing w:after="60"/>
        <w:ind w:firstLine="720"/>
        <w:rPr>
          <w:color w:val="auto"/>
        </w:rPr>
      </w:pPr>
      <w:r w:rsidRPr="000F2C91">
        <w:rPr>
          <w:color w:val="auto"/>
        </w:rPr>
        <w:t>a)</w:t>
      </w:r>
      <w:r w:rsidR="002D64CA">
        <w:rPr>
          <w:color w:val="auto"/>
        </w:rPr>
        <w:t xml:space="preserve"> </w:t>
      </w:r>
      <w:r w:rsidRPr="000F2C91">
        <w:rPr>
          <w:color w:val="auto"/>
        </w:rPr>
        <w:t xml:space="preserve">Chủ động triển khai các giải pháp nhằm nâng cao hiệu quả sử dụng nguồn lực biên chế được giao; bảo </w:t>
      </w:r>
      <w:r w:rsidR="00345C17" w:rsidRPr="000F2C91">
        <w:rPr>
          <w:color w:val="auto"/>
        </w:rPr>
        <w:t>đảm</w:t>
      </w:r>
      <w:r w:rsidR="002D64CA">
        <w:rPr>
          <w:color w:val="auto"/>
        </w:rPr>
        <w:t xml:space="preserve"> </w:t>
      </w:r>
      <w:r w:rsidRPr="000F2C91">
        <w:rPr>
          <w:color w:val="auto"/>
        </w:rPr>
        <w:t>nguồn biên chế dự phòng để thực hiện tinh giảm biên chế giai đoạn 2022-2026 theo Quyết định số 1101-QĐ/TU ngày 09/11/2022 của Ban Thường vụ Tỉnh ủy và các văn bản pháp luật, quy định hiện hành có liên quan đến việc tinh giảm biên chế.</w:t>
      </w:r>
    </w:p>
    <w:p w:rsidR="00FB7B82" w:rsidRPr="000F2C91" w:rsidRDefault="00FB7B82" w:rsidP="00453456">
      <w:pPr>
        <w:pStyle w:val="BodyText"/>
        <w:spacing w:after="60"/>
        <w:ind w:firstLine="720"/>
        <w:rPr>
          <w:color w:val="auto"/>
        </w:rPr>
      </w:pPr>
      <w:r w:rsidRPr="000F2C91">
        <w:rPr>
          <w:color w:val="auto"/>
        </w:rPr>
        <w:lastRenderedPageBreak/>
        <w:t>b) Quản lý và sử dụng số biên chế được giao theo quy định của pháp luật hiện hành.</w:t>
      </w:r>
    </w:p>
    <w:p w:rsidR="00FB7B82" w:rsidRPr="00BE1EB3" w:rsidRDefault="00FB7B82" w:rsidP="00453456">
      <w:pPr>
        <w:pStyle w:val="BodyText"/>
        <w:spacing w:after="60"/>
        <w:ind w:firstLine="720"/>
        <w:rPr>
          <w:color w:val="auto"/>
        </w:rPr>
      </w:pPr>
      <w:r w:rsidRPr="00BE1EB3">
        <w:rPr>
          <w:color w:val="auto"/>
        </w:rPr>
        <w:t>c) Giao và chỉ đạo thủ trưởng các tổ chức hành chính trực thuộc</w:t>
      </w:r>
      <w:r w:rsidR="002D64CA">
        <w:rPr>
          <w:color w:val="auto"/>
        </w:rPr>
        <w:t xml:space="preserve"> </w:t>
      </w:r>
      <w:r w:rsidRPr="00BE1EB3">
        <w:rPr>
          <w:color w:val="auto"/>
        </w:rPr>
        <w:t xml:space="preserve">giao chỉ tiêu biên chế cụ thể đối với các tổ chức cấu thành bên trong để làm cơ sở cho việc bố trí số lượng cấp phó theo quy định tại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w:t>
      </w:r>
      <w:r w:rsidR="002D64CA">
        <w:rPr>
          <w:color w:val="auto"/>
        </w:rPr>
        <w:t>T</w:t>
      </w:r>
      <w:r w:rsidRPr="00BE1EB3">
        <w:rPr>
          <w:color w:val="auto"/>
        </w:rPr>
        <w:t xml:space="preserve">rung ương và Nghị định số 108/2020/NĐ-CP ngày 14/9/2020 của Chính phủ sửa đổi, bổ sung một số điều của Nghị định số 37/2014/NĐ-CP ngày 05/5/2014 của Chính phủ quy định tổ chức các cơ quan chuyên môn thuộc Ủy ban nhân dân huyện, quận, thị xã, thành phố thuộc tỉnh, thành phố trực thuộc </w:t>
      </w:r>
      <w:r w:rsidR="002D64CA">
        <w:rPr>
          <w:color w:val="auto"/>
        </w:rPr>
        <w:t>T</w:t>
      </w:r>
      <w:r w:rsidRPr="00BE1EB3">
        <w:rPr>
          <w:color w:val="auto"/>
        </w:rPr>
        <w:t xml:space="preserve">rung ương. Báo cáo kết quả về Ủy ban nhân dân tỉnh (thông qua Sở Nội vụ) </w:t>
      </w:r>
      <w:r w:rsidRPr="00BE1EB3">
        <w:rPr>
          <w:b/>
          <w:color w:val="auto"/>
        </w:rPr>
        <w:t>trước ngày 2</w:t>
      </w:r>
      <w:r w:rsidR="00BE1EB3">
        <w:rPr>
          <w:b/>
          <w:color w:val="auto"/>
        </w:rPr>
        <w:t>5</w:t>
      </w:r>
      <w:r w:rsidRPr="00BE1EB3">
        <w:rPr>
          <w:b/>
          <w:color w:val="auto"/>
        </w:rPr>
        <w:t>/02/2025</w:t>
      </w:r>
      <w:r w:rsidRPr="00BE1EB3">
        <w:rPr>
          <w:color w:val="auto"/>
        </w:rPr>
        <w:t>.</w:t>
      </w:r>
    </w:p>
    <w:p w:rsidR="00FB7B82" w:rsidRPr="000F2C91" w:rsidRDefault="00FB7B82" w:rsidP="00453456">
      <w:pPr>
        <w:spacing w:after="60"/>
        <w:ind w:firstLine="720"/>
        <w:jc w:val="both"/>
        <w:rPr>
          <w:rStyle w:val="fontstyle01"/>
        </w:rPr>
      </w:pPr>
      <w:r w:rsidRPr="000F2C91">
        <w:rPr>
          <w:sz w:val="28"/>
          <w:szCs w:val="28"/>
        </w:rPr>
        <w:t xml:space="preserve">2. Giao Sở Nội vụ có trách nhiệm: </w:t>
      </w:r>
      <w:r w:rsidRPr="000F2C91">
        <w:rPr>
          <w:rStyle w:val="fontstyle01"/>
        </w:rPr>
        <w:t xml:space="preserve">Theo dõi, đôn đốc, hướng dẫn các cơ quan, tổ chức, đơn vị, địa phương triển khai thực hiện có hiệu quả các nhiệm vụ nêu tại Khoản 1 Điều này. </w:t>
      </w:r>
      <w:r w:rsidRPr="000F2C91">
        <w:rPr>
          <w:sz w:val="28"/>
          <w:szCs w:val="28"/>
          <w:lang w:val="pt-BR"/>
        </w:rPr>
        <w:t>T</w:t>
      </w:r>
      <w:r w:rsidRPr="000F2C91">
        <w:rPr>
          <w:rStyle w:val="fontstyle01"/>
        </w:rPr>
        <w:t xml:space="preserve">ổng hợp, báo cáo Ủy ban nhân dân tỉnh tình hình quản lý, sử dụng biên chế theo định kỳ hoặc theo yêu cầu của cấp có thẩm quyền. Chủ động phối hợp với các cơ quan, đơn vị, địa phương báo cáo, tham mưu, đề xuất Ủy ban nhân dân tỉnh </w:t>
      </w:r>
      <w:r w:rsidR="005A0B2A">
        <w:rPr>
          <w:rStyle w:val="fontstyle01"/>
        </w:rPr>
        <w:t xml:space="preserve">việc điều chuyển biên chế qua sắp xếp tổ chức bộ máy </w:t>
      </w:r>
      <w:r w:rsidR="00DA383C">
        <w:rPr>
          <w:rStyle w:val="fontstyle01"/>
        </w:rPr>
        <w:t>hoặc</w:t>
      </w:r>
      <w:r w:rsidR="002D64CA">
        <w:rPr>
          <w:rStyle w:val="fontstyle01"/>
        </w:rPr>
        <w:t xml:space="preserve"> </w:t>
      </w:r>
      <w:r w:rsidRPr="000F2C91">
        <w:rPr>
          <w:rStyle w:val="fontstyle01"/>
        </w:rPr>
        <w:t xml:space="preserve">khi </w:t>
      </w:r>
      <w:r w:rsidR="00DA383C">
        <w:rPr>
          <w:rStyle w:val="fontstyle01"/>
        </w:rPr>
        <w:t xml:space="preserve">phát sinh nhu cầu </w:t>
      </w:r>
      <w:r w:rsidRPr="000F2C91">
        <w:rPr>
          <w:rStyle w:val="fontstyle01"/>
        </w:rPr>
        <w:t>cần điều chuyển biên chế giữa các đơn vị trực thuộc Sở, ban, ngành và các vấn đề phát sinh có liên quan theo đúng quy định.</w:t>
      </w:r>
    </w:p>
    <w:p w:rsidR="00FB7B82" w:rsidRPr="006666F0" w:rsidRDefault="00FB7B82" w:rsidP="00453456">
      <w:pPr>
        <w:spacing w:after="60"/>
        <w:ind w:firstLine="720"/>
        <w:jc w:val="both"/>
        <w:rPr>
          <w:sz w:val="28"/>
          <w:szCs w:val="28"/>
        </w:rPr>
      </w:pPr>
      <w:r w:rsidRPr="006666F0">
        <w:rPr>
          <w:b/>
          <w:bCs/>
          <w:sz w:val="28"/>
          <w:szCs w:val="28"/>
        </w:rPr>
        <w:t>Điều 3</w:t>
      </w:r>
      <w:r w:rsidRPr="006666F0">
        <w:rPr>
          <w:sz w:val="28"/>
          <w:szCs w:val="28"/>
        </w:rPr>
        <w:t>. Quyết định này có hiệu lực kể từ ngày ký ban hành.</w:t>
      </w:r>
    </w:p>
    <w:p w:rsidR="00FB7B82" w:rsidRPr="000F2C91" w:rsidRDefault="00FB7B82" w:rsidP="00453456">
      <w:pPr>
        <w:spacing w:after="60"/>
        <w:ind w:firstLine="720"/>
        <w:jc w:val="both"/>
        <w:rPr>
          <w:sz w:val="28"/>
          <w:szCs w:val="28"/>
        </w:rPr>
      </w:pPr>
      <w:r w:rsidRPr="000F2C91">
        <w:rPr>
          <w:sz w:val="28"/>
          <w:szCs w:val="28"/>
        </w:rPr>
        <w:t>Chánh Văn phòng Ủy ban nhân dân tỉnh, Giám đốc Sở Nội vụ, Giám đốc Sở Tài chính, Giám đốc Kho bạc Nhà nước tỉnh, Thủ trưởng các cơ quan, đơn vị có liên quan và Thủ trưởng các cơ quan, đơn vị nêu tại Điều 1 chịu trách nhiệm thi hành Quyết định này./.</w:t>
      </w:r>
    </w:p>
    <w:p w:rsidR="00FB7B82" w:rsidRPr="000F2C91" w:rsidRDefault="00FB7B82" w:rsidP="00FB7B82">
      <w:pPr>
        <w:ind w:firstLine="720"/>
        <w:jc w:val="both"/>
      </w:pPr>
    </w:p>
    <w:tbl>
      <w:tblPr>
        <w:tblW w:w="9356" w:type="dxa"/>
        <w:tblInd w:w="108" w:type="dxa"/>
        <w:tblLook w:val="0000"/>
      </w:tblPr>
      <w:tblGrid>
        <w:gridCol w:w="4820"/>
        <w:gridCol w:w="4536"/>
      </w:tblGrid>
      <w:tr w:rsidR="00FB7B82" w:rsidRPr="000F2C91" w:rsidTr="00A12D44">
        <w:tc>
          <w:tcPr>
            <w:tcW w:w="4820" w:type="dxa"/>
          </w:tcPr>
          <w:p w:rsidR="00FB7B82" w:rsidRPr="000F2C91" w:rsidRDefault="00FB7B82" w:rsidP="00A12D44">
            <w:pPr>
              <w:jc w:val="both"/>
              <w:rPr>
                <w:b/>
                <w:i/>
                <w:iCs/>
              </w:rPr>
            </w:pPr>
          </w:p>
          <w:p w:rsidR="00FB7B82" w:rsidRPr="000F2C91" w:rsidRDefault="00FB7B82" w:rsidP="00A12D44">
            <w:pPr>
              <w:jc w:val="both"/>
              <w:rPr>
                <w:b/>
              </w:rPr>
            </w:pPr>
            <w:r w:rsidRPr="000F2C91">
              <w:rPr>
                <w:b/>
                <w:i/>
                <w:iCs/>
              </w:rPr>
              <w:t>Nơi nhận:</w:t>
            </w:r>
          </w:p>
          <w:p w:rsidR="00FB7B82" w:rsidRPr="000F2C91" w:rsidRDefault="00FB7B82" w:rsidP="00A12D44">
            <w:pPr>
              <w:jc w:val="both"/>
              <w:rPr>
                <w:szCs w:val="20"/>
              </w:rPr>
            </w:pPr>
            <w:r w:rsidRPr="000F2C91">
              <w:rPr>
                <w:sz w:val="22"/>
                <w:szCs w:val="20"/>
              </w:rPr>
              <w:t>- Như Điều 3;</w:t>
            </w:r>
          </w:p>
          <w:p w:rsidR="00FB7B82" w:rsidRPr="000F2C91" w:rsidRDefault="00FB7B82" w:rsidP="00A12D44">
            <w:pPr>
              <w:jc w:val="both"/>
              <w:rPr>
                <w:szCs w:val="20"/>
              </w:rPr>
            </w:pPr>
            <w:r w:rsidRPr="000F2C91">
              <w:rPr>
                <w:sz w:val="22"/>
                <w:szCs w:val="20"/>
              </w:rPr>
              <w:t>- Thường trực Tỉnh ủy (báo cáo);</w:t>
            </w:r>
          </w:p>
          <w:p w:rsidR="00FB7B82" w:rsidRPr="000F2C91" w:rsidRDefault="00FB7B82" w:rsidP="00A12D44">
            <w:pPr>
              <w:jc w:val="both"/>
              <w:rPr>
                <w:szCs w:val="20"/>
              </w:rPr>
            </w:pPr>
            <w:r w:rsidRPr="000F2C91">
              <w:rPr>
                <w:sz w:val="22"/>
                <w:szCs w:val="20"/>
              </w:rPr>
              <w:t>- Thường trực HĐND tỉnh (báo cáo);</w:t>
            </w:r>
          </w:p>
          <w:p w:rsidR="00FB7B82" w:rsidRPr="000F2C91" w:rsidRDefault="00FB7B82" w:rsidP="00A12D44">
            <w:pPr>
              <w:jc w:val="both"/>
              <w:rPr>
                <w:szCs w:val="20"/>
              </w:rPr>
            </w:pPr>
            <w:r w:rsidRPr="000F2C91">
              <w:rPr>
                <w:sz w:val="22"/>
                <w:szCs w:val="20"/>
              </w:rPr>
              <w:t>- CT và các PCT UBND tỉnh;</w:t>
            </w:r>
          </w:p>
          <w:p w:rsidR="00FB7B82" w:rsidRPr="000F2C91" w:rsidRDefault="00FB7B82" w:rsidP="00A12D44">
            <w:pPr>
              <w:jc w:val="both"/>
              <w:rPr>
                <w:szCs w:val="20"/>
              </w:rPr>
            </w:pPr>
            <w:r w:rsidRPr="000F2C91">
              <w:rPr>
                <w:sz w:val="22"/>
                <w:szCs w:val="20"/>
              </w:rPr>
              <w:t>- Ban Tổ chức Tỉnh ủy;</w:t>
            </w:r>
          </w:p>
          <w:p w:rsidR="00FB7B82" w:rsidRPr="000F2C91" w:rsidRDefault="00FB7B82" w:rsidP="00A12D44">
            <w:pPr>
              <w:jc w:val="both"/>
              <w:rPr>
                <w:szCs w:val="20"/>
              </w:rPr>
            </w:pPr>
            <w:r w:rsidRPr="000F2C91">
              <w:rPr>
                <w:sz w:val="22"/>
                <w:szCs w:val="20"/>
              </w:rPr>
              <w:t>- Ban Pháp chế HĐND tỉnh;</w:t>
            </w:r>
          </w:p>
          <w:p w:rsidR="00FB7B82" w:rsidRPr="000F2C91" w:rsidRDefault="00FB7B82" w:rsidP="00A12D44">
            <w:pPr>
              <w:jc w:val="both"/>
              <w:rPr>
                <w:szCs w:val="20"/>
              </w:rPr>
            </w:pPr>
            <w:r w:rsidRPr="000F2C91">
              <w:rPr>
                <w:sz w:val="22"/>
                <w:szCs w:val="20"/>
              </w:rPr>
              <w:t xml:space="preserve">- VPUB: LĐ, </w:t>
            </w:r>
            <w:r w:rsidR="002D64CA">
              <w:rPr>
                <w:sz w:val="22"/>
                <w:szCs w:val="20"/>
              </w:rPr>
              <w:t>HCQT</w:t>
            </w:r>
            <w:r w:rsidRPr="000F2C91">
              <w:rPr>
                <w:sz w:val="22"/>
                <w:szCs w:val="20"/>
              </w:rPr>
              <w:t>;</w:t>
            </w:r>
          </w:p>
          <w:p w:rsidR="00FB7B82" w:rsidRPr="000F2C91" w:rsidRDefault="00FB7B82" w:rsidP="00A12D44">
            <w:r w:rsidRPr="000F2C91">
              <w:rPr>
                <w:sz w:val="22"/>
                <w:szCs w:val="20"/>
              </w:rPr>
              <w:t>- Lưu: VT, VXNV.</w:t>
            </w:r>
            <w:r>
              <w:rPr>
                <w:sz w:val="18"/>
                <w:szCs w:val="20"/>
              </w:rPr>
              <w:t xml:space="preserve"> NNN</w:t>
            </w:r>
          </w:p>
        </w:tc>
        <w:tc>
          <w:tcPr>
            <w:tcW w:w="4536" w:type="dxa"/>
          </w:tcPr>
          <w:p w:rsidR="00FB7B82" w:rsidRPr="000F2C91" w:rsidRDefault="00FB7B82" w:rsidP="00A12D44">
            <w:pPr>
              <w:jc w:val="center"/>
              <w:rPr>
                <w:b/>
                <w:sz w:val="28"/>
                <w:szCs w:val="28"/>
              </w:rPr>
            </w:pPr>
            <w:r w:rsidRPr="000F2C91">
              <w:rPr>
                <w:b/>
                <w:sz w:val="28"/>
                <w:szCs w:val="28"/>
              </w:rPr>
              <w:t xml:space="preserve">TM. ỦY BAN NHÂN DÂN </w:t>
            </w:r>
          </w:p>
          <w:p w:rsidR="00FB7B82" w:rsidRPr="000F2C91" w:rsidRDefault="00FB7B82" w:rsidP="00A12D44">
            <w:pPr>
              <w:jc w:val="center"/>
              <w:rPr>
                <w:sz w:val="28"/>
                <w:szCs w:val="28"/>
              </w:rPr>
            </w:pPr>
            <w:r w:rsidRPr="000F2C91">
              <w:rPr>
                <w:b/>
                <w:sz w:val="28"/>
                <w:szCs w:val="28"/>
              </w:rPr>
              <w:t>CHỦ TỊCH</w:t>
            </w:r>
          </w:p>
          <w:p w:rsidR="00FB7B82" w:rsidRPr="000F2C91" w:rsidRDefault="00FB7B82" w:rsidP="00A12D44">
            <w:pPr>
              <w:jc w:val="center"/>
              <w:rPr>
                <w:b/>
                <w:sz w:val="28"/>
                <w:szCs w:val="28"/>
              </w:rPr>
            </w:pPr>
          </w:p>
          <w:p w:rsidR="00FB7B82" w:rsidRPr="000F2C91" w:rsidRDefault="00FB7B82" w:rsidP="00A12D44">
            <w:pPr>
              <w:jc w:val="center"/>
              <w:rPr>
                <w:b/>
                <w:sz w:val="28"/>
                <w:szCs w:val="28"/>
              </w:rPr>
            </w:pPr>
          </w:p>
          <w:p w:rsidR="00FB7B82" w:rsidRPr="000F2C91" w:rsidRDefault="00FB7B82" w:rsidP="00A12D44">
            <w:pPr>
              <w:jc w:val="center"/>
              <w:rPr>
                <w:b/>
                <w:sz w:val="28"/>
                <w:szCs w:val="28"/>
              </w:rPr>
            </w:pPr>
          </w:p>
          <w:p w:rsidR="00FB7B82" w:rsidRPr="000F2C91" w:rsidRDefault="00FB7B82" w:rsidP="00A12D44">
            <w:pPr>
              <w:jc w:val="center"/>
              <w:rPr>
                <w:b/>
                <w:sz w:val="28"/>
                <w:szCs w:val="28"/>
              </w:rPr>
            </w:pPr>
          </w:p>
          <w:p w:rsidR="00FB7B82" w:rsidRPr="000F2C91" w:rsidRDefault="00FB7B82" w:rsidP="00A12D44">
            <w:pPr>
              <w:jc w:val="center"/>
              <w:rPr>
                <w:b/>
                <w:sz w:val="28"/>
                <w:szCs w:val="28"/>
              </w:rPr>
            </w:pPr>
          </w:p>
          <w:p w:rsidR="00FB7B82" w:rsidRPr="000F2C91" w:rsidRDefault="00FB7B82" w:rsidP="00A12D44">
            <w:pPr>
              <w:jc w:val="center"/>
              <w:rPr>
                <w:b/>
                <w:sz w:val="28"/>
                <w:szCs w:val="28"/>
              </w:rPr>
            </w:pPr>
          </w:p>
          <w:p w:rsidR="00FB7B82" w:rsidRPr="000F2C91" w:rsidRDefault="00FB7B82" w:rsidP="00A12D44">
            <w:pPr>
              <w:jc w:val="center"/>
              <w:rPr>
                <w:b/>
                <w:sz w:val="28"/>
                <w:szCs w:val="28"/>
              </w:rPr>
            </w:pPr>
            <w:r w:rsidRPr="000F2C91">
              <w:rPr>
                <w:b/>
                <w:sz w:val="28"/>
                <w:szCs w:val="28"/>
              </w:rPr>
              <w:t>Trần Quốc Nam</w:t>
            </w:r>
          </w:p>
        </w:tc>
      </w:tr>
    </w:tbl>
    <w:p w:rsidR="00C46B47" w:rsidRDefault="00C46B47" w:rsidP="00FB7B82">
      <w:pPr>
        <w:pStyle w:val="Heading1"/>
        <w:spacing w:before="0" w:after="0"/>
        <w:jc w:val="center"/>
        <w:rPr>
          <w:rFonts w:ascii="Times New Roman" w:hAnsi="Times New Roman" w:cs="Times New Roman"/>
          <w:sz w:val="28"/>
          <w:szCs w:val="26"/>
        </w:rPr>
      </w:pPr>
    </w:p>
    <w:p w:rsidR="00C46B47" w:rsidRPr="00C46B47" w:rsidRDefault="00C46B47" w:rsidP="00C46B47"/>
    <w:p w:rsidR="00C46B47" w:rsidRPr="00C46B47" w:rsidRDefault="00C46B47" w:rsidP="00C46B47"/>
    <w:p w:rsidR="00C46B47" w:rsidRPr="00C46B47" w:rsidRDefault="00C46B47" w:rsidP="00C46B47"/>
    <w:p w:rsidR="00C46B47" w:rsidRPr="00C46B47" w:rsidRDefault="00C46B47" w:rsidP="00C46B47"/>
    <w:p w:rsidR="00C46B47" w:rsidRPr="00C46B47" w:rsidRDefault="00C46B47" w:rsidP="00C46B47"/>
    <w:p w:rsidR="00150C7F" w:rsidRDefault="00150C7F" w:rsidP="00C46B47">
      <w:pPr>
        <w:tabs>
          <w:tab w:val="left" w:pos="2241"/>
        </w:tabs>
      </w:pPr>
    </w:p>
    <w:sectPr w:rsidR="00150C7F" w:rsidSect="00966D30">
      <w:headerReference w:type="default" r:id="rId7"/>
      <w:pgSz w:w="12240" w:h="15840"/>
      <w:pgMar w:top="1134" w:right="851" w:bottom="851" w:left="1588"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034" w:rsidRDefault="00B27034" w:rsidP="00FB7B82">
      <w:r>
        <w:separator/>
      </w:r>
    </w:p>
  </w:endnote>
  <w:endnote w:type="continuationSeparator" w:id="1">
    <w:p w:rsidR="00B27034" w:rsidRDefault="00B27034" w:rsidP="00FB7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34" w:rsidRDefault="00B27034" w:rsidP="00FB7B82">
      <w:r>
        <w:separator/>
      </w:r>
    </w:p>
  </w:footnote>
  <w:footnote w:type="continuationSeparator" w:id="1">
    <w:p w:rsidR="00B27034" w:rsidRDefault="00B27034" w:rsidP="00FB7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747204"/>
      <w:docPartObj>
        <w:docPartGallery w:val="Page Numbers (Top of Page)"/>
        <w:docPartUnique/>
      </w:docPartObj>
    </w:sdtPr>
    <w:sdtEndPr>
      <w:rPr>
        <w:noProof/>
      </w:rPr>
    </w:sdtEndPr>
    <w:sdtContent>
      <w:p w:rsidR="00BA6E83" w:rsidRPr="0071396C" w:rsidRDefault="00917945" w:rsidP="0071396C">
        <w:pPr>
          <w:pStyle w:val="Header"/>
          <w:jc w:val="center"/>
        </w:pPr>
        <w:r>
          <w:fldChar w:fldCharType="begin"/>
        </w:r>
        <w:r w:rsidR="00BA6E83">
          <w:instrText xml:space="preserve"> PAGE   \* MERGEFORMAT </w:instrText>
        </w:r>
        <w:r>
          <w:fldChar w:fldCharType="separate"/>
        </w:r>
        <w:r w:rsidR="0054584B">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FB7B82"/>
    <w:rsid w:val="00073C31"/>
    <w:rsid w:val="00080352"/>
    <w:rsid w:val="00081767"/>
    <w:rsid w:val="00092771"/>
    <w:rsid w:val="00097CAB"/>
    <w:rsid w:val="000E34AA"/>
    <w:rsid w:val="000F2E16"/>
    <w:rsid w:val="00150C7F"/>
    <w:rsid w:val="002B2F0E"/>
    <w:rsid w:val="002D64CA"/>
    <w:rsid w:val="00345C17"/>
    <w:rsid w:val="00351A15"/>
    <w:rsid w:val="00392ACB"/>
    <w:rsid w:val="0039430A"/>
    <w:rsid w:val="003966DF"/>
    <w:rsid w:val="003A4315"/>
    <w:rsid w:val="00406258"/>
    <w:rsid w:val="004073C9"/>
    <w:rsid w:val="004441A8"/>
    <w:rsid w:val="00453456"/>
    <w:rsid w:val="00534885"/>
    <w:rsid w:val="0054584B"/>
    <w:rsid w:val="0058167C"/>
    <w:rsid w:val="005A0B2A"/>
    <w:rsid w:val="006402BA"/>
    <w:rsid w:val="00642F06"/>
    <w:rsid w:val="00690DEE"/>
    <w:rsid w:val="006C11DC"/>
    <w:rsid w:val="006D0746"/>
    <w:rsid w:val="007117D1"/>
    <w:rsid w:val="0071396C"/>
    <w:rsid w:val="007268DB"/>
    <w:rsid w:val="007D2C5F"/>
    <w:rsid w:val="0081315F"/>
    <w:rsid w:val="008375B2"/>
    <w:rsid w:val="00861CD3"/>
    <w:rsid w:val="009139BA"/>
    <w:rsid w:val="00917945"/>
    <w:rsid w:val="009659F8"/>
    <w:rsid w:val="00966D30"/>
    <w:rsid w:val="009F7957"/>
    <w:rsid w:val="00AA3657"/>
    <w:rsid w:val="00AB6EF5"/>
    <w:rsid w:val="00AD2435"/>
    <w:rsid w:val="00B27034"/>
    <w:rsid w:val="00B503DB"/>
    <w:rsid w:val="00B67695"/>
    <w:rsid w:val="00B711DB"/>
    <w:rsid w:val="00BA6E83"/>
    <w:rsid w:val="00BC0429"/>
    <w:rsid w:val="00BC7028"/>
    <w:rsid w:val="00BE1EB3"/>
    <w:rsid w:val="00BE513A"/>
    <w:rsid w:val="00C0778C"/>
    <w:rsid w:val="00C46B47"/>
    <w:rsid w:val="00CC1E8D"/>
    <w:rsid w:val="00D15A79"/>
    <w:rsid w:val="00D57996"/>
    <w:rsid w:val="00D63A09"/>
    <w:rsid w:val="00D754B8"/>
    <w:rsid w:val="00D84484"/>
    <w:rsid w:val="00DA1929"/>
    <w:rsid w:val="00DA383C"/>
    <w:rsid w:val="00DA681F"/>
    <w:rsid w:val="00DC0971"/>
    <w:rsid w:val="00E3465C"/>
    <w:rsid w:val="00E67B3A"/>
    <w:rsid w:val="00E955F2"/>
    <w:rsid w:val="00F15ED3"/>
    <w:rsid w:val="00F34CA9"/>
    <w:rsid w:val="00F353CF"/>
    <w:rsid w:val="00F643D2"/>
    <w:rsid w:val="00F737F6"/>
    <w:rsid w:val="00FB7B82"/>
    <w:rsid w:val="00FD7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7B8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B7B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B7B82"/>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FB7B82"/>
    <w:pPr>
      <w:keepNext/>
      <w:ind w:left="-108" w:right="-48"/>
      <w:jc w:val="center"/>
      <w:outlineLvl w:val="4"/>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B82"/>
    <w:rPr>
      <w:rFonts w:ascii="Arial" w:eastAsia="Times New Roman" w:hAnsi="Arial" w:cs="Arial"/>
      <w:b/>
      <w:bCs/>
      <w:kern w:val="32"/>
      <w:sz w:val="32"/>
      <w:szCs w:val="32"/>
    </w:rPr>
  </w:style>
  <w:style w:type="character" w:customStyle="1" w:styleId="Heading2Char">
    <w:name w:val="Heading 2 Char"/>
    <w:basedOn w:val="DefaultParagraphFont"/>
    <w:link w:val="Heading2"/>
    <w:rsid w:val="00FB7B82"/>
    <w:rPr>
      <w:rFonts w:ascii="Arial" w:eastAsia="Times New Roman" w:hAnsi="Arial" w:cs="Arial"/>
      <w:b/>
      <w:bCs/>
      <w:i/>
      <w:iCs/>
      <w:sz w:val="28"/>
      <w:szCs w:val="28"/>
    </w:rPr>
  </w:style>
  <w:style w:type="character" w:customStyle="1" w:styleId="Heading3Char">
    <w:name w:val="Heading 3 Char"/>
    <w:basedOn w:val="DefaultParagraphFont"/>
    <w:link w:val="Heading3"/>
    <w:rsid w:val="00FB7B82"/>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FB7B82"/>
    <w:rPr>
      <w:rFonts w:ascii="Times New Roman" w:eastAsia="Times New Roman" w:hAnsi="Times New Roman" w:cs="Times New Roman"/>
      <w:b/>
      <w:color w:val="0000FF"/>
      <w:sz w:val="26"/>
      <w:szCs w:val="20"/>
    </w:rPr>
  </w:style>
  <w:style w:type="paragraph" w:customStyle="1" w:styleId="Normal1">
    <w:name w:val="Normal1"/>
    <w:basedOn w:val="Normal"/>
    <w:next w:val="Normal"/>
    <w:autoRedefine/>
    <w:semiHidden/>
    <w:rsid w:val="00FB7B82"/>
    <w:pPr>
      <w:spacing w:after="160" w:line="240" w:lineRule="exact"/>
    </w:pPr>
    <w:rPr>
      <w:sz w:val="28"/>
      <w:szCs w:val="22"/>
    </w:rPr>
  </w:style>
  <w:style w:type="paragraph" w:styleId="Footer">
    <w:name w:val="footer"/>
    <w:basedOn w:val="Normal"/>
    <w:link w:val="FooterChar"/>
    <w:rsid w:val="00FB7B82"/>
    <w:pPr>
      <w:tabs>
        <w:tab w:val="center" w:pos="4320"/>
        <w:tab w:val="right" w:pos="8640"/>
      </w:tabs>
    </w:pPr>
  </w:style>
  <w:style w:type="character" w:customStyle="1" w:styleId="FooterChar">
    <w:name w:val="Footer Char"/>
    <w:basedOn w:val="DefaultParagraphFont"/>
    <w:link w:val="Footer"/>
    <w:rsid w:val="00FB7B82"/>
    <w:rPr>
      <w:rFonts w:ascii="Times New Roman" w:eastAsia="Times New Roman" w:hAnsi="Times New Roman" w:cs="Times New Roman"/>
      <w:sz w:val="24"/>
      <w:szCs w:val="24"/>
    </w:rPr>
  </w:style>
  <w:style w:type="character" w:styleId="PageNumber">
    <w:name w:val="page number"/>
    <w:basedOn w:val="DefaultParagraphFont"/>
    <w:rsid w:val="00FB7B82"/>
  </w:style>
  <w:style w:type="paragraph" w:styleId="BodyText">
    <w:name w:val="Body Text"/>
    <w:aliases w:val="Body Text Char Char Char Char Char,Body Text Char Char Char Char Char Char Char Char,Body Text Char Char,Body Text Char Char Char,Body Text Char1"/>
    <w:basedOn w:val="Normal"/>
    <w:link w:val="BodyTextChar2"/>
    <w:rsid w:val="00FB7B82"/>
    <w:pPr>
      <w:autoSpaceDE w:val="0"/>
      <w:autoSpaceDN w:val="0"/>
      <w:adjustRightInd w:val="0"/>
      <w:jc w:val="both"/>
    </w:pPr>
    <w:rPr>
      <w:color w:val="000000"/>
      <w:sz w:val="28"/>
      <w:szCs w:val="28"/>
    </w:rPr>
  </w:style>
  <w:style w:type="character" w:customStyle="1" w:styleId="BodyTextChar">
    <w:name w:val="Body Text Char"/>
    <w:basedOn w:val="DefaultParagraphFont"/>
    <w:uiPriority w:val="99"/>
    <w:semiHidden/>
    <w:rsid w:val="00FB7B82"/>
    <w:rPr>
      <w:rFonts w:ascii="Times New Roman" w:eastAsia="Times New Roman" w:hAnsi="Times New Roman" w:cs="Times New Roman"/>
      <w:sz w:val="24"/>
      <w:szCs w:val="24"/>
    </w:rPr>
  </w:style>
  <w:style w:type="character" w:customStyle="1" w:styleId="BodyTextChar2">
    <w:name w:val="Body Text Char2"/>
    <w:aliases w:val="Body Text Char Char Char Char Char Char,Body Text Char Char Char Char Char Char Char Char Char,Body Text Char Char Char1,Body Text Char Char Char Char,Body Text Char1 Char"/>
    <w:link w:val="BodyText"/>
    <w:rsid w:val="00FB7B82"/>
    <w:rPr>
      <w:rFonts w:ascii="Times New Roman" w:eastAsia="Times New Roman" w:hAnsi="Times New Roman" w:cs="Times New Roman"/>
      <w:color w:val="000000"/>
      <w:sz w:val="28"/>
      <w:szCs w:val="28"/>
    </w:rPr>
  </w:style>
  <w:style w:type="paragraph" w:styleId="BodyTextIndent3">
    <w:name w:val="Body Text Indent 3"/>
    <w:basedOn w:val="Normal"/>
    <w:link w:val="BodyTextIndent3Char"/>
    <w:rsid w:val="00FB7B82"/>
    <w:pPr>
      <w:spacing w:after="120"/>
      <w:ind w:left="360"/>
    </w:pPr>
    <w:rPr>
      <w:sz w:val="16"/>
      <w:szCs w:val="16"/>
    </w:rPr>
  </w:style>
  <w:style w:type="character" w:customStyle="1" w:styleId="BodyTextIndent3Char">
    <w:name w:val="Body Text Indent 3 Char"/>
    <w:basedOn w:val="DefaultParagraphFont"/>
    <w:link w:val="BodyTextIndent3"/>
    <w:rsid w:val="00FB7B82"/>
    <w:rPr>
      <w:rFonts w:ascii="Times New Roman" w:eastAsia="Times New Roman" w:hAnsi="Times New Roman" w:cs="Times New Roman"/>
      <w:sz w:val="16"/>
      <w:szCs w:val="16"/>
    </w:rPr>
  </w:style>
  <w:style w:type="paragraph" w:styleId="BodyTextIndent">
    <w:name w:val="Body Text Indent"/>
    <w:basedOn w:val="Normal"/>
    <w:link w:val="BodyTextIndentChar"/>
    <w:rsid w:val="00FB7B82"/>
    <w:pPr>
      <w:spacing w:after="120"/>
      <w:ind w:left="360"/>
    </w:pPr>
  </w:style>
  <w:style w:type="character" w:customStyle="1" w:styleId="BodyTextIndentChar">
    <w:name w:val="Body Text Indent Char"/>
    <w:basedOn w:val="DefaultParagraphFont"/>
    <w:link w:val="BodyTextIndent"/>
    <w:rsid w:val="00FB7B82"/>
    <w:rPr>
      <w:rFonts w:ascii="Times New Roman" w:eastAsia="Times New Roman" w:hAnsi="Times New Roman" w:cs="Times New Roman"/>
      <w:sz w:val="24"/>
      <w:szCs w:val="24"/>
    </w:rPr>
  </w:style>
  <w:style w:type="character" w:customStyle="1" w:styleId="fontstyle01">
    <w:name w:val="fontstyle01"/>
    <w:rsid w:val="00FB7B8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B7B82"/>
    <w:pPr>
      <w:tabs>
        <w:tab w:val="center" w:pos="4680"/>
        <w:tab w:val="right" w:pos="9360"/>
      </w:tabs>
    </w:pPr>
  </w:style>
  <w:style w:type="character" w:customStyle="1" w:styleId="HeaderChar">
    <w:name w:val="Header Char"/>
    <w:basedOn w:val="DefaultParagraphFont"/>
    <w:link w:val="Header"/>
    <w:uiPriority w:val="99"/>
    <w:rsid w:val="00FB7B82"/>
    <w:rPr>
      <w:rFonts w:ascii="Times New Roman" w:eastAsia="Times New Roman" w:hAnsi="Times New Roman" w:cs="Times New Roman"/>
      <w:sz w:val="24"/>
      <w:szCs w:val="24"/>
    </w:rPr>
  </w:style>
  <w:style w:type="paragraph" w:styleId="ListParagraph">
    <w:name w:val="List Paragraph"/>
    <w:basedOn w:val="Normal"/>
    <w:uiPriority w:val="34"/>
    <w:qFormat/>
    <w:rsid w:val="0058167C"/>
    <w:pPr>
      <w:ind w:left="720"/>
      <w:contextualSpacing/>
    </w:pPr>
  </w:style>
  <w:style w:type="paragraph" w:styleId="BalloonText">
    <w:name w:val="Balloon Text"/>
    <w:basedOn w:val="Normal"/>
    <w:link w:val="BalloonTextChar"/>
    <w:uiPriority w:val="99"/>
    <w:semiHidden/>
    <w:unhideWhenUsed/>
    <w:rsid w:val="00AD2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3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F11D-03F2-4F70-8BF3-895A145E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2024-12-27T11:09:00Z</cp:lastPrinted>
  <dcterms:created xsi:type="dcterms:W3CDTF">2024-12-29T09:23:00Z</dcterms:created>
  <dcterms:modified xsi:type="dcterms:W3CDTF">2024-12-29T09:32:00Z</dcterms:modified>
</cp:coreProperties>
</file>