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jc w:val="center"/>
        <w:tblLayout w:type="fixed"/>
        <w:tblLook w:val="04A0" w:firstRow="1" w:lastRow="0" w:firstColumn="1" w:lastColumn="0" w:noHBand="0" w:noVBand="1"/>
      </w:tblPr>
      <w:tblGrid>
        <w:gridCol w:w="3256"/>
        <w:gridCol w:w="283"/>
        <w:gridCol w:w="6095"/>
      </w:tblGrid>
      <w:tr w:rsidR="00B47A13">
        <w:trPr>
          <w:cantSplit/>
          <w:jc w:val="center"/>
        </w:trPr>
        <w:tc>
          <w:tcPr>
            <w:tcW w:w="3256" w:type="dxa"/>
            <w:hideMark/>
          </w:tcPr>
          <w:p w:rsidR="00B47A13" w:rsidRDefault="00F633FB">
            <w:pPr>
              <w:spacing w:line="256" w:lineRule="auto"/>
              <w:ind w:right="-33" w:firstLine="19"/>
              <w:jc w:val="center"/>
              <w:rPr>
                <w:b/>
                <w:caps/>
              </w:rPr>
            </w:pPr>
            <w:r>
              <w:rPr>
                <w:b/>
                <w:caps/>
              </w:rPr>
              <w:t>ỦY BAN NHÂN DÂN</w:t>
            </w:r>
          </w:p>
          <w:p w:rsidR="00B47A13" w:rsidRDefault="00F633FB">
            <w:pPr>
              <w:spacing w:line="256" w:lineRule="auto"/>
              <w:ind w:right="-33"/>
              <w:jc w:val="center"/>
              <w:rPr>
                <w:b/>
                <w:caps/>
              </w:rPr>
            </w:pPr>
            <w:r>
              <w:rPr>
                <w:b/>
                <w:caps/>
              </w:rPr>
              <w:t>TỈNH NINH THUẬN</w:t>
            </w:r>
          </w:p>
        </w:tc>
        <w:tc>
          <w:tcPr>
            <w:tcW w:w="283" w:type="dxa"/>
          </w:tcPr>
          <w:p w:rsidR="00B47A13" w:rsidRDefault="00B47A13">
            <w:pPr>
              <w:spacing w:line="256" w:lineRule="auto"/>
              <w:ind w:left="-120" w:right="-101"/>
            </w:pPr>
          </w:p>
        </w:tc>
        <w:tc>
          <w:tcPr>
            <w:tcW w:w="6095" w:type="dxa"/>
            <w:hideMark/>
          </w:tcPr>
          <w:p w:rsidR="00B47A13" w:rsidRDefault="00F633FB">
            <w:pPr>
              <w:spacing w:line="256" w:lineRule="auto"/>
              <w:ind w:right="-33"/>
              <w:jc w:val="center"/>
              <w:rPr>
                <w:b/>
              </w:rPr>
            </w:pPr>
            <w:r>
              <w:rPr>
                <w:b/>
              </w:rPr>
              <w:t>CỘNG HÒA XÃ HỘI CHỦ NGHĨA VIỆT NAM</w:t>
            </w:r>
          </w:p>
          <w:p w:rsidR="00B47A13" w:rsidRDefault="00F633FB">
            <w:pPr>
              <w:spacing w:line="256" w:lineRule="auto"/>
              <w:ind w:right="-33"/>
              <w:jc w:val="center"/>
              <w:rPr>
                <w:b/>
              </w:rPr>
            </w:pPr>
            <w:r>
              <w:rPr>
                <w:b/>
                <w:sz w:val="28"/>
              </w:rPr>
              <w:t>Độc lập - Tự do - Hạnh phúc</w:t>
            </w:r>
          </w:p>
        </w:tc>
      </w:tr>
      <w:tr w:rsidR="00B47A13">
        <w:trPr>
          <w:cantSplit/>
          <w:jc w:val="center"/>
        </w:trPr>
        <w:tc>
          <w:tcPr>
            <w:tcW w:w="3256" w:type="dxa"/>
            <w:hideMark/>
          </w:tcPr>
          <w:p w:rsidR="00B47A13" w:rsidRDefault="00F633FB">
            <w:pPr>
              <w:spacing w:line="256" w:lineRule="auto"/>
              <w:ind w:right="-33" w:firstLine="6"/>
              <w:jc w:val="center"/>
              <w:rPr>
                <w:b/>
                <w:caps/>
                <w:vertAlign w:val="superscript"/>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725170</wp:posOffset>
                      </wp:positionH>
                      <wp:positionV relativeFrom="paragraph">
                        <wp:posOffset>31115</wp:posOffset>
                      </wp:positionV>
                      <wp:extent cx="4476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pt,2.45pt" to="92.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DU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"/>
                  </w:pict>
                </mc:Fallback>
              </mc:AlternateContent>
            </w:r>
            <w:r>
              <w:rPr>
                <w:b/>
                <w:caps/>
                <w:vertAlign w:val="superscript"/>
              </w:rPr>
              <w:softHyphen/>
            </w:r>
            <w:r>
              <w:rPr>
                <w:b/>
                <w:caps/>
                <w:vertAlign w:val="superscript"/>
              </w:rPr>
              <w:softHyphen/>
            </w:r>
            <w:r>
              <w:rPr>
                <w:b/>
                <w:caps/>
                <w:vertAlign w:val="superscript"/>
              </w:rPr>
              <w:softHyphen/>
            </w:r>
            <w:r>
              <w:rPr>
                <w:b/>
                <w:caps/>
                <w:vertAlign w:val="superscript"/>
              </w:rPr>
              <w:softHyphen/>
            </w:r>
            <w:r>
              <w:rPr>
                <w:b/>
                <w:caps/>
                <w:vertAlign w:val="superscript"/>
              </w:rPr>
              <w:softHyphen/>
            </w:r>
            <w:r>
              <w:rPr>
                <w:b/>
                <w:caps/>
                <w:vertAlign w:val="superscript"/>
              </w:rPr>
              <w:softHyphen/>
            </w:r>
            <w:r>
              <w:rPr>
                <w:b/>
                <w:caps/>
                <w:vertAlign w:val="superscript"/>
              </w:rPr>
              <w:softHyphen/>
            </w:r>
            <w:r>
              <w:rPr>
                <w:b/>
                <w:caps/>
                <w:vertAlign w:val="superscript"/>
              </w:rPr>
              <w:softHyphen/>
            </w:r>
            <w:r>
              <w:rPr>
                <w:b/>
                <w:caps/>
                <w:vertAlign w:val="superscript"/>
              </w:rPr>
              <w:softHyphen/>
            </w:r>
            <w:r>
              <w:rPr>
                <w:b/>
                <w:caps/>
                <w:vertAlign w:val="superscript"/>
              </w:rPr>
              <w:softHyphen/>
            </w:r>
            <w:r>
              <w:rPr>
                <w:b/>
                <w:caps/>
                <w:vertAlign w:val="superscript"/>
              </w:rPr>
              <w:softHyphen/>
            </w:r>
            <w:r>
              <w:rPr>
                <w:b/>
                <w:caps/>
                <w:vertAlign w:val="superscript"/>
              </w:rPr>
              <w:softHyphen/>
            </w:r>
          </w:p>
        </w:tc>
        <w:tc>
          <w:tcPr>
            <w:tcW w:w="283" w:type="dxa"/>
          </w:tcPr>
          <w:p w:rsidR="00B47A13" w:rsidRDefault="00B47A13">
            <w:pPr>
              <w:spacing w:line="256" w:lineRule="auto"/>
              <w:rPr>
                <w:vertAlign w:val="superscript"/>
              </w:rPr>
            </w:pPr>
          </w:p>
        </w:tc>
        <w:tc>
          <w:tcPr>
            <w:tcW w:w="6095" w:type="dxa"/>
            <w:hideMark/>
          </w:tcPr>
          <w:p w:rsidR="00B47A13" w:rsidRDefault="00F633FB">
            <w:pPr>
              <w:spacing w:line="256" w:lineRule="auto"/>
              <w:ind w:right="-33"/>
              <w:rPr>
                <w:vertAlign w:val="superscript"/>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754380</wp:posOffset>
                      </wp:positionH>
                      <wp:positionV relativeFrom="paragraph">
                        <wp:posOffset>31115</wp:posOffset>
                      </wp:positionV>
                      <wp:extent cx="22574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2.45pt" to="237.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"/>
                  </w:pict>
                </mc:Fallback>
              </mc:AlternateContent>
            </w:r>
          </w:p>
        </w:tc>
      </w:tr>
      <w:tr w:rsidR="00B47A13">
        <w:trPr>
          <w:cantSplit/>
          <w:jc w:val="center"/>
        </w:trPr>
        <w:tc>
          <w:tcPr>
            <w:tcW w:w="3256" w:type="dxa"/>
            <w:hideMark/>
          </w:tcPr>
          <w:p w:rsidR="00B47A13" w:rsidRDefault="00F633FB">
            <w:pPr>
              <w:spacing w:line="256" w:lineRule="auto"/>
              <w:ind w:right="-33"/>
              <w:jc w:val="center"/>
            </w:pPr>
            <w:r>
              <w:t xml:space="preserve">Số:            /QĐ-UBND     </w:t>
            </w:r>
          </w:p>
        </w:tc>
        <w:tc>
          <w:tcPr>
            <w:tcW w:w="283" w:type="dxa"/>
          </w:tcPr>
          <w:p w:rsidR="00B47A13" w:rsidRDefault="00B47A13">
            <w:pPr>
              <w:spacing w:line="256" w:lineRule="auto"/>
            </w:pPr>
          </w:p>
        </w:tc>
        <w:tc>
          <w:tcPr>
            <w:tcW w:w="6095" w:type="dxa"/>
            <w:hideMark/>
          </w:tcPr>
          <w:p w:rsidR="00B47A13" w:rsidRDefault="00CF421E">
            <w:pPr>
              <w:spacing w:line="256" w:lineRule="auto"/>
              <w:ind w:right="-33"/>
              <w:jc w:val="center"/>
              <w:rPr>
                <w:i/>
              </w:rPr>
            </w:pPr>
            <w:r>
              <w:rPr>
                <w:i/>
              </w:rPr>
              <w:t xml:space="preserve">Ninh Thuận, ngày      tháng 4 </w:t>
            </w:r>
            <w:r w:rsidR="00F633FB">
              <w:rPr>
                <w:i/>
              </w:rPr>
              <w:t>năm 2024</w:t>
            </w:r>
          </w:p>
        </w:tc>
      </w:tr>
    </w:tbl>
    <w:p w:rsidR="00B47A13" w:rsidRDefault="00B47A13">
      <w:pPr>
        <w:rPr>
          <w:sz w:val="6"/>
        </w:rPr>
      </w:pPr>
    </w:p>
    <w:p w:rsidR="00B47A13" w:rsidRDefault="00B47A13">
      <w:pPr>
        <w:jc w:val="center"/>
        <w:rPr>
          <w:b/>
          <w:sz w:val="28"/>
          <w:szCs w:val="28"/>
        </w:rPr>
      </w:pPr>
    </w:p>
    <w:p w:rsidR="00B47A13" w:rsidRDefault="00F633FB">
      <w:pPr>
        <w:jc w:val="center"/>
        <w:rPr>
          <w:b/>
          <w:sz w:val="28"/>
          <w:szCs w:val="28"/>
        </w:rPr>
      </w:pPr>
      <w:r>
        <w:rPr>
          <w:b/>
          <w:sz w:val="28"/>
          <w:szCs w:val="28"/>
        </w:rPr>
        <w:t>QUYẾT ĐỊNH</w:t>
      </w:r>
    </w:p>
    <w:p w:rsidR="00B47A13" w:rsidRDefault="00F633FB">
      <w:pPr>
        <w:ind w:right="-45"/>
        <w:jc w:val="center"/>
        <w:rPr>
          <w:b/>
          <w:sz w:val="28"/>
          <w:szCs w:val="28"/>
        </w:rPr>
      </w:pPr>
      <w:r>
        <w:rPr>
          <w:b/>
          <w:bCs/>
          <w:sz w:val="28"/>
          <w:szCs w:val="28"/>
        </w:rPr>
        <w:t xml:space="preserve">Phê duyệt </w:t>
      </w:r>
      <w:r>
        <w:rPr>
          <w:b/>
          <w:sz w:val="28"/>
          <w:szCs w:val="28"/>
        </w:rPr>
        <w:t xml:space="preserve">Kết quả tự đánh giá các chỉ số nhóm I của Bộ chỉ số </w:t>
      </w:r>
    </w:p>
    <w:p w:rsidR="00B47A13" w:rsidRDefault="00F633FB">
      <w:pPr>
        <w:ind w:right="-45"/>
        <w:jc w:val="center"/>
        <w:rPr>
          <w:b/>
          <w:sz w:val="28"/>
          <w:szCs w:val="28"/>
        </w:rPr>
      </w:pPr>
      <w:r>
        <w:rPr>
          <w:b/>
          <w:sz w:val="28"/>
          <w:szCs w:val="28"/>
        </w:rPr>
        <w:t>đánh giá kết quả bảo vệ môi trường tỉnh Ninh Thuận năm 2023</w:t>
      </w:r>
    </w:p>
    <w:p w:rsidR="00B47A13" w:rsidRDefault="00F633FB">
      <w:pPr>
        <w:ind w:right="-45"/>
        <w:jc w:val="center"/>
        <w:rPr>
          <w:b/>
          <w:bCs/>
          <w:color w:val="000000"/>
          <w:sz w:val="20"/>
          <w:szCs w:val="28"/>
        </w:rPr>
      </w:pPr>
      <w:r>
        <w:rPr>
          <w:noProof/>
          <w:sz w:val="18"/>
        </w:rPr>
        <mc:AlternateContent>
          <mc:Choice Requires="wps">
            <w:drawing>
              <wp:anchor distT="4294967295" distB="4294967295" distL="114300" distR="114300" simplePos="0" relativeHeight="251661312" behindDoc="0" locked="0" layoutInCell="1" allowOverlap="1">
                <wp:simplePos x="0" y="0"/>
                <wp:positionH relativeFrom="column">
                  <wp:posOffset>1853565</wp:posOffset>
                </wp:positionH>
                <wp:positionV relativeFrom="paragraph">
                  <wp:posOffset>43179</wp:posOffset>
                </wp:positionV>
                <wp:extent cx="1981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0C0B281"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95pt,3.4pt" to="301.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XGT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"/>
            </w:pict>
          </mc:Fallback>
        </mc:AlternateContent>
      </w:r>
    </w:p>
    <w:p w:rsidR="00B47A13" w:rsidRDefault="00B47A13">
      <w:pPr>
        <w:spacing w:line="264" w:lineRule="auto"/>
        <w:jc w:val="center"/>
        <w:rPr>
          <w:b/>
          <w:sz w:val="20"/>
          <w:szCs w:val="28"/>
          <w:lang w:val="vi-VN"/>
        </w:rPr>
      </w:pPr>
    </w:p>
    <w:p w:rsidR="00B47A13" w:rsidRDefault="00F633FB">
      <w:pPr>
        <w:spacing w:line="264" w:lineRule="auto"/>
        <w:jc w:val="center"/>
        <w:rPr>
          <w:b/>
          <w:sz w:val="28"/>
          <w:szCs w:val="28"/>
          <w:lang w:val="vi-VN"/>
        </w:rPr>
      </w:pPr>
      <w:r>
        <w:rPr>
          <w:b/>
          <w:sz w:val="28"/>
          <w:szCs w:val="28"/>
          <w:lang w:val="vi-VN"/>
        </w:rPr>
        <w:t>CHỦ TỊCH ỦY BAN NHÂN DÂN TỈNH NINH THUẬN</w:t>
      </w:r>
    </w:p>
    <w:p w:rsidR="00B47A13" w:rsidRDefault="00B47A13">
      <w:pPr>
        <w:spacing w:before="120" w:after="120" w:line="264" w:lineRule="auto"/>
        <w:ind w:firstLine="720"/>
        <w:jc w:val="both"/>
        <w:rPr>
          <w:sz w:val="12"/>
          <w:szCs w:val="28"/>
          <w:lang w:val="vi-VN"/>
        </w:rPr>
      </w:pPr>
    </w:p>
    <w:p w:rsidR="00B47A13" w:rsidRDefault="00F633FB">
      <w:pPr>
        <w:widowControl w:val="0"/>
        <w:spacing w:before="120"/>
        <w:ind w:firstLine="720"/>
        <w:jc w:val="both"/>
        <w:rPr>
          <w:i/>
          <w:sz w:val="28"/>
          <w:szCs w:val="28"/>
          <w:lang w:val="vi-VN"/>
        </w:rPr>
      </w:pPr>
      <w:r>
        <w:rPr>
          <w:i/>
          <w:sz w:val="28"/>
          <w:szCs w:val="28"/>
          <w:lang w:val="vi-VN"/>
        </w:rPr>
        <w:t>Căn cứ Luật Tổ chức chính quyền địa phương ngày 19 tháng 6 năm 2015;</w:t>
      </w:r>
    </w:p>
    <w:p w:rsidR="00B47A13" w:rsidRDefault="00F633FB">
      <w:pPr>
        <w:widowControl w:val="0"/>
        <w:spacing w:before="120"/>
        <w:ind w:firstLine="720"/>
        <w:jc w:val="both"/>
        <w:rPr>
          <w:i/>
          <w:sz w:val="28"/>
          <w:szCs w:val="28"/>
          <w:lang w:val="vi-VN"/>
        </w:rPr>
      </w:pPr>
      <w:r>
        <w:rPr>
          <w:i/>
          <w:sz w:val="28"/>
          <w:szCs w:val="28"/>
          <w:lang w:val="vi-VN"/>
        </w:rPr>
        <w:t xml:space="preserve">Căn cứ Luật </w:t>
      </w:r>
      <w:r>
        <w:rPr>
          <w:i/>
          <w:sz w:val="28"/>
          <w:szCs w:val="28"/>
        </w:rPr>
        <w:t>S</w:t>
      </w:r>
      <w:r>
        <w:rPr>
          <w:i/>
          <w:sz w:val="28"/>
          <w:szCs w:val="28"/>
          <w:lang w:val="vi-VN"/>
        </w:rPr>
        <w:t>ửa đổi, bổ sung một số điều của Luật Tổ chức Chính phủ và Tổ chức chính quyền địa phương ngày 22 tháng 11 năm 2019;</w:t>
      </w:r>
    </w:p>
    <w:p w:rsidR="00B47A13" w:rsidRDefault="00F633FB">
      <w:pPr>
        <w:widowControl w:val="0"/>
        <w:spacing w:before="120"/>
        <w:ind w:firstLine="720"/>
        <w:jc w:val="both"/>
        <w:rPr>
          <w:i/>
          <w:sz w:val="28"/>
          <w:szCs w:val="28"/>
          <w:lang w:val="vi-VN"/>
        </w:rPr>
      </w:pPr>
      <w:r>
        <w:rPr>
          <w:i/>
          <w:sz w:val="28"/>
          <w:szCs w:val="28"/>
          <w:lang w:val="vi-VN"/>
        </w:rPr>
        <w:t>Căn cứ Luật Bảo vệ môi trường ngày 17 tháng 11 năm 2020;</w:t>
      </w:r>
    </w:p>
    <w:p w:rsidR="00B47A13" w:rsidRDefault="00F633FB">
      <w:pPr>
        <w:widowControl w:val="0"/>
        <w:spacing w:before="120"/>
        <w:ind w:firstLine="720"/>
        <w:jc w:val="both"/>
        <w:rPr>
          <w:i/>
          <w:sz w:val="28"/>
          <w:szCs w:val="28"/>
          <w:lang w:val="vi-VN"/>
        </w:rPr>
      </w:pPr>
      <w:r>
        <w:rPr>
          <w:i/>
          <w:sz w:val="28"/>
          <w:szCs w:val="28"/>
          <w:lang w:val="vi-VN"/>
        </w:rPr>
        <w:t>Căn cứ Luật Đa dạng sinh học ngày 13 tháng 11 năm 2008;</w:t>
      </w:r>
    </w:p>
    <w:p w:rsidR="00B47A13" w:rsidRDefault="00F633FB">
      <w:pPr>
        <w:widowControl w:val="0"/>
        <w:spacing w:before="120"/>
        <w:ind w:firstLine="720"/>
        <w:jc w:val="both"/>
        <w:rPr>
          <w:i/>
          <w:sz w:val="28"/>
          <w:szCs w:val="28"/>
          <w:lang w:val="vi-VN"/>
        </w:rPr>
      </w:pPr>
      <w:r>
        <w:rPr>
          <w:bCs/>
          <w:i/>
          <w:iCs/>
          <w:spacing w:val="-4"/>
          <w:sz w:val="28"/>
          <w:szCs w:val="28"/>
          <w:lang w:val="da-DK"/>
        </w:rPr>
        <w:t>Căn cứ Chỉ thị số 25/CT-TTg ngày 31 tháng 8 năm 2016 của Thủ tướng Chính phủ về một số nhiệm vụ, giải pháp cấp bách về bảo vệ môi trường;</w:t>
      </w:r>
    </w:p>
    <w:p w:rsidR="00B47A13" w:rsidRDefault="00F633FB">
      <w:pPr>
        <w:widowControl w:val="0"/>
        <w:spacing w:before="120"/>
        <w:ind w:firstLine="720"/>
        <w:jc w:val="both"/>
        <w:rPr>
          <w:i/>
          <w:sz w:val="28"/>
          <w:szCs w:val="28"/>
          <w:lang w:val="vi-VN"/>
        </w:rPr>
      </w:pPr>
      <w:r>
        <w:rPr>
          <w:i/>
          <w:sz w:val="28"/>
          <w:szCs w:val="28"/>
          <w:lang w:val="vi-VN"/>
        </w:rPr>
        <w:t xml:space="preserve">Căn cứ Quyết định số 2782/QĐ-BTNMT ngày 31 tháng 10 năm 2019 của Bộ trưởng Bộ Tài nguyên và Môi trường về việc ban hành Bộ chỉ số đánh giá kết quả bảo vệ môi trường của các tỉnh, thành phố trực thuộc Trung ương;  </w:t>
      </w:r>
    </w:p>
    <w:p w:rsidR="00B47A13" w:rsidRDefault="00F633FB">
      <w:pPr>
        <w:widowControl w:val="0"/>
        <w:spacing w:before="120"/>
        <w:ind w:firstLine="720"/>
        <w:jc w:val="both"/>
        <w:rPr>
          <w:sz w:val="28"/>
          <w:szCs w:val="28"/>
          <w:lang w:val="vi-VN"/>
        </w:rPr>
      </w:pPr>
      <w:r>
        <w:rPr>
          <w:i/>
          <w:sz w:val="28"/>
          <w:szCs w:val="28"/>
          <w:lang w:val="vi-VN"/>
        </w:rPr>
        <w:t xml:space="preserve">Theo đề nghị của Giám đốc Sở Tài nguyên và Môi trường tại Văn bản số     </w:t>
      </w:r>
      <w:r w:rsidR="00CF421E" w:rsidRPr="00CF421E">
        <w:rPr>
          <w:i/>
          <w:sz w:val="28"/>
          <w:szCs w:val="28"/>
        </w:rPr>
        <w:t>1277/STNMT-MT</w:t>
      </w:r>
      <w:r w:rsidR="00CF421E" w:rsidRPr="00CF421E">
        <w:rPr>
          <w:i/>
          <w:sz w:val="28"/>
          <w:szCs w:val="28"/>
          <w:lang w:val="vi-VN"/>
        </w:rPr>
        <w:t xml:space="preserve"> </w:t>
      </w:r>
      <w:r w:rsidR="00CF421E">
        <w:rPr>
          <w:i/>
          <w:sz w:val="28"/>
          <w:szCs w:val="28"/>
          <w:lang w:val="vi-VN"/>
        </w:rPr>
        <w:t>ngày</w:t>
      </w:r>
      <w:r w:rsidR="00CF421E">
        <w:rPr>
          <w:i/>
          <w:sz w:val="28"/>
          <w:szCs w:val="28"/>
        </w:rPr>
        <w:t xml:space="preserve"> 26 </w:t>
      </w:r>
      <w:r w:rsidR="00CF421E">
        <w:rPr>
          <w:i/>
          <w:sz w:val="28"/>
          <w:szCs w:val="28"/>
          <w:lang w:val="vi-VN"/>
        </w:rPr>
        <w:t>tháng</w:t>
      </w:r>
      <w:r w:rsidR="00CF421E">
        <w:rPr>
          <w:i/>
          <w:sz w:val="28"/>
          <w:szCs w:val="28"/>
        </w:rPr>
        <w:t xml:space="preserve"> 3 </w:t>
      </w:r>
      <w:r>
        <w:rPr>
          <w:i/>
          <w:sz w:val="28"/>
          <w:szCs w:val="28"/>
          <w:lang w:val="vi-VN"/>
        </w:rPr>
        <w:t>năm 202</w:t>
      </w:r>
      <w:r>
        <w:rPr>
          <w:i/>
          <w:sz w:val="28"/>
          <w:szCs w:val="28"/>
        </w:rPr>
        <w:t>4</w:t>
      </w:r>
      <w:r>
        <w:rPr>
          <w:i/>
          <w:sz w:val="28"/>
          <w:szCs w:val="28"/>
          <w:lang w:val="vi-VN"/>
        </w:rPr>
        <w:t xml:space="preserve">. </w:t>
      </w:r>
    </w:p>
    <w:p w:rsidR="00B47A13" w:rsidRDefault="00B47A13">
      <w:pPr>
        <w:widowControl w:val="0"/>
        <w:ind w:firstLine="720"/>
        <w:jc w:val="both"/>
        <w:rPr>
          <w:bCs/>
          <w:sz w:val="28"/>
          <w:szCs w:val="28"/>
          <w:lang w:val="vi-VN"/>
        </w:rPr>
      </w:pPr>
    </w:p>
    <w:p w:rsidR="00B47A13" w:rsidRDefault="00F633FB">
      <w:pPr>
        <w:widowControl w:val="0"/>
        <w:jc w:val="center"/>
        <w:rPr>
          <w:b/>
          <w:bCs/>
          <w:sz w:val="28"/>
          <w:szCs w:val="28"/>
          <w:lang w:val="vi-VN"/>
        </w:rPr>
      </w:pPr>
      <w:r>
        <w:rPr>
          <w:b/>
          <w:bCs/>
          <w:sz w:val="28"/>
          <w:szCs w:val="28"/>
          <w:lang w:val="vi-VN"/>
        </w:rPr>
        <w:t>QUYẾT ĐỊNH:</w:t>
      </w:r>
    </w:p>
    <w:p w:rsidR="00B47A13" w:rsidRDefault="00B47A13">
      <w:pPr>
        <w:widowControl w:val="0"/>
        <w:ind w:firstLine="720"/>
        <w:jc w:val="both"/>
        <w:rPr>
          <w:b/>
          <w:bCs/>
          <w:sz w:val="28"/>
          <w:szCs w:val="28"/>
          <w:lang w:val="vi-VN"/>
        </w:rPr>
      </w:pPr>
    </w:p>
    <w:p w:rsidR="00B47A13" w:rsidRDefault="00F633FB">
      <w:pPr>
        <w:widowControl w:val="0"/>
        <w:ind w:firstLine="720"/>
        <w:jc w:val="both"/>
        <w:rPr>
          <w:bCs/>
          <w:sz w:val="28"/>
          <w:szCs w:val="28"/>
          <w:lang w:val="vi-VN"/>
        </w:rPr>
      </w:pPr>
      <w:r>
        <w:rPr>
          <w:b/>
          <w:bCs/>
          <w:sz w:val="28"/>
          <w:szCs w:val="28"/>
          <w:lang w:val="vi-VN"/>
        </w:rPr>
        <w:t>Điều 1.</w:t>
      </w:r>
      <w:r>
        <w:rPr>
          <w:bCs/>
          <w:sz w:val="28"/>
          <w:szCs w:val="28"/>
          <w:lang w:val="vi-VN"/>
        </w:rPr>
        <w:t xml:space="preserve"> Phê duyệt </w:t>
      </w:r>
      <w:r>
        <w:rPr>
          <w:sz w:val="28"/>
          <w:szCs w:val="28"/>
          <w:lang w:val="vi-VN"/>
        </w:rPr>
        <w:t>Kết quả tự đánh giá các chỉ số nhóm I của Bộ chỉ số đánh giá kết quả bảo vệ môi trường tỉnh Ninh Thuận năm 202</w:t>
      </w:r>
      <w:r>
        <w:rPr>
          <w:sz w:val="28"/>
          <w:szCs w:val="28"/>
        </w:rPr>
        <w:t>3</w:t>
      </w:r>
      <w:r>
        <w:rPr>
          <w:sz w:val="28"/>
          <w:szCs w:val="28"/>
          <w:lang w:val="vi-VN"/>
        </w:rPr>
        <w:t xml:space="preserve">, với nội </w:t>
      </w:r>
      <w:r>
        <w:rPr>
          <w:bCs/>
          <w:sz w:val="28"/>
          <w:szCs w:val="28"/>
          <w:lang w:val="vi-VN"/>
        </w:rPr>
        <w:t>dung cụ thể như sau:</w:t>
      </w:r>
    </w:p>
    <w:p w:rsidR="00B47A13" w:rsidRDefault="00F633FB">
      <w:pPr>
        <w:widowControl w:val="0"/>
        <w:spacing w:before="120"/>
        <w:ind w:firstLine="720"/>
        <w:jc w:val="both"/>
        <w:rPr>
          <w:sz w:val="28"/>
          <w:szCs w:val="28"/>
          <w:lang w:val="da-DK"/>
        </w:rPr>
      </w:pPr>
      <w:r>
        <w:rPr>
          <w:sz w:val="28"/>
          <w:szCs w:val="28"/>
          <w:lang w:val="da-DK"/>
        </w:rPr>
        <w:t>- Chỉ số 01: Tỷ lệ nước thải đô thị được thu gom, xử lý đạt quy chuẩn kỹ thuật môi trường đạt 3,9%.</w:t>
      </w:r>
    </w:p>
    <w:p w:rsidR="00B47A13" w:rsidRDefault="00F633FB">
      <w:pPr>
        <w:widowControl w:val="0"/>
        <w:spacing w:before="120"/>
        <w:ind w:firstLine="720"/>
        <w:jc w:val="both"/>
        <w:rPr>
          <w:sz w:val="28"/>
          <w:szCs w:val="28"/>
          <w:lang w:val="da-DK"/>
        </w:rPr>
      </w:pPr>
      <w:r>
        <w:rPr>
          <w:sz w:val="28"/>
          <w:szCs w:val="28"/>
          <w:lang w:val="da-DK"/>
        </w:rPr>
        <w:t>- Chỉ số 02: Tỷ lệ cơ sở sản xuất, kinh doanh, dịch vụ phát sinh nước thải từ 50 m</w:t>
      </w:r>
      <w:r>
        <w:rPr>
          <w:sz w:val="28"/>
          <w:szCs w:val="28"/>
          <w:vertAlign w:val="superscript"/>
          <w:lang w:val="da-DK"/>
        </w:rPr>
        <w:t>3</w:t>
      </w:r>
      <w:r>
        <w:rPr>
          <w:sz w:val="28"/>
          <w:szCs w:val="28"/>
          <w:lang w:val="da-DK"/>
        </w:rPr>
        <w:t xml:space="preserve">/ngày (24 giờ) trở lên có công trình, thiết bị, hệ thống xử lý nước thải đạt quy chuẩn kỹ thuật môi trường đạt 100%. </w:t>
      </w:r>
      <w:r>
        <w:rPr>
          <w:color w:val="FF0000"/>
          <w:sz w:val="28"/>
          <w:szCs w:val="28"/>
          <w:lang w:val="da-DK"/>
        </w:rPr>
        <w:t xml:space="preserve"> </w:t>
      </w:r>
    </w:p>
    <w:p w:rsidR="00B47A13" w:rsidRDefault="00F633FB">
      <w:pPr>
        <w:widowControl w:val="0"/>
        <w:spacing w:before="120"/>
        <w:ind w:firstLine="720"/>
        <w:jc w:val="both"/>
        <w:rPr>
          <w:sz w:val="28"/>
          <w:szCs w:val="28"/>
          <w:lang w:val="da-DK"/>
        </w:rPr>
      </w:pPr>
      <w:r>
        <w:rPr>
          <w:sz w:val="28"/>
          <w:szCs w:val="28"/>
          <w:lang w:val="da-DK"/>
        </w:rPr>
        <w:t>- Chỉ số 03: Tỷ lệ khu công nghiệp có hệ thống xử lý nước thải tập trung đạt quy chuẩn kỹ thuật môi trường đạt 66,67%.</w:t>
      </w:r>
    </w:p>
    <w:p w:rsidR="00B47A13" w:rsidRDefault="00F633FB">
      <w:pPr>
        <w:widowControl w:val="0"/>
        <w:spacing w:before="120"/>
        <w:ind w:firstLine="720"/>
        <w:jc w:val="both"/>
        <w:rPr>
          <w:sz w:val="28"/>
          <w:szCs w:val="28"/>
          <w:lang w:val="da-DK"/>
        </w:rPr>
      </w:pPr>
      <w:r>
        <w:rPr>
          <w:sz w:val="28"/>
          <w:szCs w:val="28"/>
          <w:lang w:val="da-DK"/>
        </w:rPr>
        <w:t xml:space="preserve">- Chỉ số 04: Tỷ lệ cụm công nghiệp có hệ thống xử lý nước thải tập trung đạt quy chuẩn kỹ thuật môi trường </w:t>
      </w:r>
      <w:r w:rsidRPr="00BF1200">
        <w:rPr>
          <w:sz w:val="28"/>
          <w:szCs w:val="28"/>
          <w:lang w:val="da-DK"/>
        </w:rPr>
        <w:t>đạt 0%.</w:t>
      </w:r>
    </w:p>
    <w:p w:rsidR="00B47A13" w:rsidRDefault="00F633FB">
      <w:pPr>
        <w:widowControl w:val="0"/>
        <w:spacing w:before="120"/>
        <w:ind w:firstLine="720"/>
        <w:jc w:val="both"/>
        <w:rPr>
          <w:sz w:val="28"/>
          <w:szCs w:val="28"/>
          <w:lang w:val="da-DK"/>
        </w:rPr>
      </w:pPr>
      <w:r>
        <w:rPr>
          <w:sz w:val="28"/>
          <w:szCs w:val="28"/>
          <w:lang w:val="da-DK"/>
        </w:rPr>
        <w:t>- Chỉ số 05: Tỷ lệ bệnh viện, trung tâm y tế có công trình, thiết bị, hệ thống xử lý nước thải đạt quy chuẩn kỹ thuật môi trường đạt 87,6%.</w:t>
      </w:r>
    </w:p>
    <w:p w:rsidR="00B47A13" w:rsidRDefault="00F633FB">
      <w:pPr>
        <w:widowControl w:val="0"/>
        <w:spacing w:before="120"/>
        <w:ind w:firstLine="720"/>
        <w:jc w:val="both"/>
        <w:rPr>
          <w:sz w:val="28"/>
          <w:szCs w:val="28"/>
          <w:lang w:val="da-DK"/>
        </w:rPr>
      </w:pPr>
      <w:r>
        <w:rPr>
          <w:sz w:val="28"/>
          <w:szCs w:val="28"/>
          <w:lang w:val="da-DK"/>
        </w:rPr>
        <w:lastRenderedPageBreak/>
        <w:t>- Chỉ số 06: Tỷ lệ cơ sở gây ô nhiễm môi trường nghiêm trọng được xử lý triệt để: Không thuộc phạm vi đánh giá năm 2023.</w:t>
      </w:r>
    </w:p>
    <w:p w:rsidR="00B47A13" w:rsidRDefault="00F633FB">
      <w:pPr>
        <w:widowControl w:val="0"/>
        <w:spacing w:before="120"/>
        <w:ind w:firstLine="720"/>
        <w:jc w:val="both"/>
        <w:rPr>
          <w:sz w:val="28"/>
          <w:szCs w:val="28"/>
          <w:lang w:val="da-DK"/>
        </w:rPr>
      </w:pPr>
      <w:r>
        <w:rPr>
          <w:sz w:val="28"/>
          <w:szCs w:val="28"/>
          <w:lang w:val="da-DK"/>
        </w:rPr>
        <w:t>- Chỉ số 07: Số lượng phương tiện giao thông công cộng trên</w:t>
      </w:r>
      <w:r>
        <w:rPr>
          <w:sz w:val="28"/>
          <w:szCs w:val="28"/>
          <w:lang w:val="vi-VN"/>
        </w:rPr>
        <w:t xml:space="preserve"> </w:t>
      </w:r>
      <w:r>
        <w:rPr>
          <w:sz w:val="28"/>
          <w:szCs w:val="28"/>
          <w:lang w:val="da-DK"/>
        </w:rPr>
        <w:t>10.000 dân đô thị đạt 8,95 phương tiện/10.000 người.</w:t>
      </w:r>
    </w:p>
    <w:p w:rsidR="00B47A13" w:rsidRDefault="00F633FB">
      <w:pPr>
        <w:widowControl w:val="0"/>
        <w:spacing w:before="120"/>
        <w:ind w:firstLine="720"/>
        <w:jc w:val="both"/>
        <w:rPr>
          <w:sz w:val="28"/>
          <w:szCs w:val="28"/>
          <w:lang w:val="da-DK"/>
        </w:rPr>
      </w:pPr>
      <w:r>
        <w:rPr>
          <w:sz w:val="28"/>
          <w:szCs w:val="28"/>
          <w:lang w:val="da-DK"/>
        </w:rPr>
        <w:t>- Chỉ số 08: Số lượng sự cố môi trường do chất thải gây ra (vụ): Không thuộc phạm vi đánh giá năm 2023</w:t>
      </w:r>
      <w:r>
        <w:rPr>
          <w:sz w:val="28"/>
          <w:szCs w:val="28"/>
          <w:lang w:val="nl-NL"/>
        </w:rPr>
        <w:t>.</w:t>
      </w:r>
    </w:p>
    <w:p w:rsidR="00B47A13" w:rsidRDefault="00F633FB">
      <w:pPr>
        <w:widowControl w:val="0"/>
        <w:spacing w:before="120"/>
        <w:ind w:firstLine="720"/>
        <w:jc w:val="both"/>
        <w:rPr>
          <w:sz w:val="28"/>
          <w:szCs w:val="28"/>
          <w:lang w:val="da-DK"/>
        </w:rPr>
      </w:pPr>
      <w:r>
        <w:rPr>
          <w:sz w:val="28"/>
          <w:szCs w:val="28"/>
          <w:lang w:val="da-DK"/>
        </w:rPr>
        <w:t>- Chỉ số 09: Tỷ lệ chất thải nguy hại được xử lý đáp ứng yêu cầu bảo vệ môi trường đạt 100%.</w:t>
      </w:r>
    </w:p>
    <w:p w:rsidR="00B47A13" w:rsidRDefault="00F633FB">
      <w:pPr>
        <w:widowControl w:val="0"/>
        <w:spacing w:before="120"/>
        <w:ind w:firstLine="720"/>
        <w:jc w:val="both"/>
        <w:rPr>
          <w:sz w:val="28"/>
          <w:szCs w:val="28"/>
          <w:lang w:val="da-DK"/>
        </w:rPr>
      </w:pPr>
      <w:r>
        <w:rPr>
          <w:sz w:val="28"/>
          <w:szCs w:val="28"/>
          <w:lang w:val="da-DK"/>
        </w:rPr>
        <w:t>- Chỉ số 10: Tỷ lệ các cơ quan Nhà nước, Đảng, tổ chức chính trị-xã hội, đơn vị sự nghiệp công lập cấp tỉnh, cấp huyện; các siêu thị, khu du lịch đã có quy định, cam kết, kế hoạch triển khai về chống rác thải nhựa: Không thuộc phạm vi đánh giá năm 2023.</w:t>
      </w:r>
    </w:p>
    <w:p w:rsidR="00B47A13" w:rsidRPr="00BF1200" w:rsidRDefault="00F633FB">
      <w:pPr>
        <w:widowControl w:val="0"/>
        <w:spacing w:before="120"/>
        <w:ind w:firstLine="720"/>
        <w:jc w:val="both"/>
        <w:rPr>
          <w:sz w:val="28"/>
          <w:szCs w:val="28"/>
          <w:lang w:val="da-DK"/>
        </w:rPr>
      </w:pPr>
      <w:r>
        <w:rPr>
          <w:sz w:val="28"/>
          <w:szCs w:val="28"/>
          <w:lang w:val="da-DK"/>
        </w:rPr>
        <w:t>- Chỉ số 11: Tỷ lệ chất thải rắn sinh hoạt được phân loại tại nguồn</w:t>
      </w:r>
      <w:r>
        <w:rPr>
          <w:sz w:val="28"/>
          <w:szCs w:val="28"/>
          <w:lang w:val="vi-VN"/>
        </w:rPr>
        <w:t xml:space="preserve"> đạt </w:t>
      </w:r>
      <w:r w:rsidRPr="00BF1200">
        <w:rPr>
          <w:sz w:val="28"/>
          <w:szCs w:val="28"/>
          <w:lang w:val="da-DK"/>
        </w:rPr>
        <w:t>0%.</w:t>
      </w:r>
    </w:p>
    <w:p w:rsidR="00B47A13" w:rsidRDefault="00F633FB">
      <w:pPr>
        <w:widowControl w:val="0"/>
        <w:spacing w:before="120"/>
        <w:ind w:firstLine="720"/>
        <w:jc w:val="both"/>
        <w:rPr>
          <w:sz w:val="28"/>
          <w:szCs w:val="28"/>
          <w:lang w:val="da-DK"/>
        </w:rPr>
      </w:pPr>
      <w:r>
        <w:rPr>
          <w:sz w:val="28"/>
          <w:szCs w:val="28"/>
          <w:lang w:val="da-DK"/>
        </w:rPr>
        <w:t>- Chỉ số 12: Tỷ lệ chất thải rắn sinh hoạt được xử lý đáp ứng yêu cầu về bảo vệ môi trường đạt 100%.</w:t>
      </w:r>
    </w:p>
    <w:p w:rsidR="00B47A13" w:rsidRDefault="00F633FB">
      <w:pPr>
        <w:widowControl w:val="0"/>
        <w:spacing w:before="120"/>
        <w:ind w:firstLine="720"/>
        <w:jc w:val="both"/>
        <w:rPr>
          <w:spacing w:val="-4"/>
          <w:sz w:val="28"/>
          <w:szCs w:val="28"/>
          <w:lang w:val="da-DK"/>
        </w:rPr>
      </w:pPr>
      <w:r>
        <w:rPr>
          <w:spacing w:val="-4"/>
          <w:sz w:val="28"/>
          <w:szCs w:val="28"/>
          <w:lang w:val="da-DK"/>
        </w:rPr>
        <w:t>- Chỉ số 13: Tỷ lệ bãi chôn lấp chất thải rắn sinh hoạt hợp vệ sinh đạt 100%.</w:t>
      </w:r>
    </w:p>
    <w:p w:rsidR="00B47A13" w:rsidRDefault="00F633FB">
      <w:pPr>
        <w:widowControl w:val="0"/>
        <w:spacing w:before="120"/>
        <w:ind w:firstLine="720"/>
        <w:jc w:val="both"/>
        <w:rPr>
          <w:sz w:val="28"/>
          <w:szCs w:val="28"/>
          <w:lang w:val="da-DK"/>
        </w:rPr>
      </w:pPr>
      <w:r>
        <w:rPr>
          <w:sz w:val="28"/>
          <w:szCs w:val="28"/>
          <w:lang w:val="da-DK"/>
        </w:rPr>
        <w:t>- Chỉ số 14: Tỷ lệ số khu vực đất bị ô nhiễm tồn lưu được xử lý, cải tạo: Chưa phát hiện khu vực đất ô nhiễm tồn lưu trên địa bàn tỉnh Ninh Thuận trong năm 2023.</w:t>
      </w:r>
    </w:p>
    <w:p w:rsidR="00B47A13" w:rsidRDefault="00F633FB">
      <w:pPr>
        <w:widowControl w:val="0"/>
        <w:spacing w:before="120"/>
        <w:ind w:firstLine="720"/>
        <w:jc w:val="both"/>
        <w:rPr>
          <w:sz w:val="28"/>
          <w:szCs w:val="28"/>
          <w:lang w:val="da-DK"/>
        </w:rPr>
      </w:pPr>
      <w:r>
        <w:rPr>
          <w:sz w:val="28"/>
          <w:szCs w:val="28"/>
          <w:lang w:val="da-DK"/>
        </w:rPr>
        <w:t>- Chỉ số 15: Tỷ lệ dân số đô thị được cung cấp nước sạch qua hệ thống cấp nước tập trung đạt 98,85%.</w:t>
      </w:r>
    </w:p>
    <w:p w:rsidR="00B47A13" w:rsidRDefault="00F633FB">
      <w:pPr>
        <w:widowControl w:val="0"/>
        <w:spacing w:before="120"/>
        <w:ind w:firstLine="720"/>
        <w:jc w:val="both"/>
        <w:rPr>
          <w:sz w:val="28"/>
          <w:szCs w:val="28"/>
          <w:lang w:val="da-DK"/>
        </w:rPr>
      </w:pPr>
      <w:r>
        <w:rPr>
          <w:sz w:val="28"/>
          <w:szCs w:val="28"/>
          <w:lang w:val="da-DK"/>
        </w:rPr>
        <w:t>- Chỉ số 16: Tỷ lệ hộ gia đình nông thôn được sử dụng nguồn nước hợp vệ sinh đạt 99,73%.</w:t>
      </w:r>
    </w:p>
    <w:p w:rsidR="00B47A13" w:rsidRDefault="00F633FB">
      <w:pPr>
        <w:widowControl w:val="0"/>
        <w:spacing w:before="120"/>
        <w:ind w:firstLine="720"/>
        <w:jc w:val="both"/>
        <w:rPr>
          <w:sz w:val="28"/>
          <w:szCs w:val="28"/>
          <w:lang w:val="da-DK"/>
        </w:rPr>
      </w:pPr>
      <w:r>
        <w:rPr>
          <w:sz w:val="28"/>
          <w:szCs w:val="28"/>
          <w:lang w:val="da-DK"/>
        </w:rPr>
        <w:t>- Chỉ số 17: Tỷ lệ hộ gia đình nông thôn có hố xí hợp vệ sinh: Không thuộc phạm vi đánh giá năm 2023.</w:t>
      </w:r>
    </w:p>
    <w:p w:rsidR="00B47A13" w:rsidRDefault="00F633FB">
      <w:pPr>
        <w:widowControl w:val="0"/>
        <w:spacing w:before="120"/>
        <w:ind w:firstLine="720"/>
        <w:jc w:val="both"/>
        <w:rPr>
          <w:sz w:val="28"/>
          <w:szCs w:val="28"/>
          <w:lang w:val="da-DK"/>
        </w:rPr>
      </w:pPr>
      <w:r>
        <w:rPr>
          <w:sz w:val="28"/>
          <w:szCs w:val="28"/>
          <w:lang w:val="da-DK"/>
        </w:rPr>
        <w:t>- Chỉ số 18: Tỷ lệ diện tích đất của các khu bảo tồn thiên nhiên đã được thành lập trên tổng diện tích đất quy hoạch cho bảo tồn thiên nhiên và đa dạn</w:t>
      </w:r>
      <w:r w:rsidR="00C71B9C">
        <w:rPr>
          <w:sz w:val="28"/>
          <w:szCs w:val="28"/>
          <w:lang w:val="da-DK"/>
        </w:rPr>
        <w:t>g sinh học đạt 100</w:t>
      </w:r>
      <w:r>
        <w:rPr>
          <w:sz w:val="28"/>
          <w:szCs w:val="28"/>
          <w:lang w:val="da-DK"/>
        </w:rPr>
        <w:t>%.</w:t>
      </w:r>
    </w:p>
    <w:p w:rsidR="00B47A13" w:rsidRDefault="00F633FB">
      <w:pPr>
        <w:widowControl w:val="0"/>
        <w:spacing w:before="120"/>
        <w:ind w:firstLine="720"/>
        <w:jc w:val="both"/>
        <w:rPr>
          <w:sz w:val="28"/>
          <w:szCs w:val="28"/>
          <w:lang w:val="da-DK"/>
        </w:rPr>
      </w:pPr>
      <w:r>
        <w:rPr>
          <w:sz w:val="28"/>
          <w:szCs w:val="28"/>
          <w:lang w:val="da-DK"/>
        </w:rPr>
        <w:t>- Chỉ số 19: Tỷ lệ diện tích rừng trồng mới tập trung trên diện tích đất quy hoạch cho phát triển rừng đạt 0</w:t>
      </w:r>
      <w:r w:rsidR="00F90081">
        <w:rPr>
          <w:sz w:val="28"/>
          <w:szCs w:val="28"/>
          <w:lang w:val="da-DK"/>
        </w:rPr>
        <w:t>,</w:t>
      </w:r>
      <w:r>
        <w:rPr>
          <w:sz w:val="28"/>
          <w:szCs w:val="28"/>
          <w:lang w:val="da-DK"/>
        </w:rPr>
        <w:t>79%.</w:t>
      </w:r>
    </w:p>
    <w:p w:rsidR="00B47A13" w:rsidRDefault="00F633FB">
      <w:pPr>
        <w:widowControl w:val="0"/>
        <w:spacing w:before="120"/>
        <w:ind w:firstLine="720"/>
        <w:jc w:val="both"/>
        <w:rPr>
          <w:sz w:val="28"/>
          <w:szCs w:val="28"/>
          <w:lang w:val="da-DK"/>
        </w:rPr>
      </w:pPr>
      <w:r>
        <w:rPr>
          <w:sz w:val="28"/>
          <w:szCs w:val="28"/>
          <w:lang w:val="da-DK"/>
        </w:rPr>
        <w:t>- Chỉ số 20: Diện tích rừng tự nhiên bị cháy, chặt phá là 11,18 ha.</w:t>
      </w:r>
    </w:p>
    <w:p w:rsidR="00B47A13" w:rsidRDefault="00F633FB">
      <w:pPr>
        <w:widowControl w:val="0"/>
        <w:spacing w:before="120"/>
        <w:ind w:firstLine="720"/>
        <w:jc w:val="both"/>
        <w:rPr>
          <w:sz w:val="28"/>
          <w:szCs w:val="28"/>
          <w:lang w:val="da-DK"/>
        </w:rPr>
      </w:pPr>
      <w:r>
        <w:rPr>
          <w:sz w:val="28"/>
          <w:szCs w:val="28"/>
          <w:lang w:val="da-DK"/>
        </w:rPr>
        <w:t>-</w:t>
      </w:r>
      <w:r w:rsidR="00A91E99">
        <w:rPr>
          <w:sz w:val="28"/>
          <w:szCs w:val="28"/>
          <w:lang w:val="da-DK"/>
        </w:rPr>
        <w:t xml:space="preserve"> </w:t>
      </w:r>
      <w:r>
        <w:rPr>
          <w:sz w:val="28"/>
          <w:szCs w:val="28"/>
          <w:lang w:val="da-DK"/>
        </w:rPr>
        <w:t>Chỉ số 21: Sản lượng điện sản xuất từ năng lượng tái tạo đạt 5.949.400.000 kWh/năm.</w:t>
      </w:r>
    </w:p>
    <w:p w:rsidR="00B47A13" w:rsidRPr="00BF1200" w:rsidRDefault="00F633FB">
      <w:pPr>
        <w:widowControl w:val="0"/>
        <w:spacing w:before="120"/>
        <w:ind w:firstLine="720"/>
        <w:jc w:val="both"/>
        <w:rPr>
          <w:sz w:val="28"/>
          <w:szCs w:val="28"/>
          <w:lang w:val="da-DK"/>
        </w:rPr>
      </w:pPr>
      <w:r>
        <w:rPr>
          <w:sz w:val="28"/>
          <w:szCs w:val="28"/>
          <w:lang w:val="da-DK"/>
        </w:rPr>
        <w:t xml:space="preserve">- Chỉ số 22: Số trạm quan trắc tự động chất lượng môi trường không khí tại các đô thị loại IV trở lên trên 10.000 dân đô thị: </w:t>
      </w:r>
      <w:r w:rsidR="00BF1200" w:rsidRPr="00BF1200">
        <w:rPr>
          <w:sz w:val="28"/>
          <w:szCs w:val="28"/>
          <w:lang w:val="da-DK"/>
        </w:rPr>
        <w:t>C</w:t>
      </w:r>
      <w:r w:rsidRPr="00BF1200">
        <w:rPr>
          <w:sz w:val="28"/>
          <w:szCs w:val="28"/>
          <w:lang w:val="da-DK"/>
        </w:rPr>
        <w:t xml:space="preserve">ó </w:t>
      </w:r>
      <w:r w:rsidR="00BF1200" w:rsidRPr="00BF1200">
        <w:rPr>
          <w:sz w:val="28"/>
          <w:szCs w:val="28"/>
          <w:lang w:val="da-DK"/>
        </w:rPr>
        <w:t xml:space="preserve">01 </w:t>
      </w:r>
      <w:r w:rsidRPr="00BF1200">
        <w:rPr>
          <w:sz w:val="28"/>
          <w:szCs w:val="28"/>
          <w:lang w:val="da-DK"/>
        </w:rPr>
        <w:t xml:space="preserve">trạm quan trắc tự động chất lượng môi trường không khí trên địa bàn </w:t>
      </w:r>
      <w:r w:rsidR="00BF1200" w:rsidRPr="00BF1200">
        <w:rPr>
          <w:sz w:val="28"/>
          <w:szCs w:val="28"/>
          <w:lang w:val="da-DK"/>
        </w:rPr>
        <w:t>thành phố Phan Rang-Tháp chàm</w:t>
      </w:r>
      <w:r w:rsidRPr="00BF1200">
        <w:rPr>
          <w:sz w:val="28"/>
          <w:szCs w:val="28"/>
          <w:lang w:val="da-DK"/>
        </w:rPr>
        <w:t>.</w:t>
      </w:r>
    </w:p>
    <w:p w:rsidR="00B47A13" w:rsidRDefault="00F633FB">
      <w:pPr>
        <w:widowControl w:val="0"/>
        <w:spacing w:before="120"/>
        <w:ind w:firstLine="720"/>
        <w:jc w:val="both"/>
        <w:rPr>
          <w:sz w:val="28"/>
          <w:szCs w:val="28"/>
          <w:lang w:val="vi-VN"/>
        </w:rPr>
      </w:pPr>
      <w:r>
        <w:rPr>
          <w:sz w:val="28"/>
          <w:szCs w:val="28"/>
          <w:lang w:val="da-DK"/>
        </w:rPr>
        <w:t xml:space="preserve">- Chỉ số 23: Tỷ lệ các khu công nghiệp, cơ sở sản xuất, kinh doanh, dịch vụ lắp đặt hệ thống quan trắc nước thải, khí thải tự động, liên tục, truyền số liệu </w:t>
      </w:r>
      <w:r>
        <w:rPr>
          <w:sz w:val="28"/>
          <w:szCs w:val="28"/>
          <w:lang w:val="da-DK"/>
        </w:rPr>
        <w:lastRenderedPageBreak/>
        <w:t>trực tiếp cho Sở Tài nguyên và Môi trường địa phương theo quy định của pháp luật đạt 100%.</w:t>
      </w:r>
      <w:r>
        <w:rPr>
          <w:sz w:val="28"/>
          <w:szCs w:val="28"/>
          <w:lang w:val="vi-VN"/>
        </w:rPr>
        <w:t xml:space="preserve"> </w:t>
      </w:r>
    </w:p>
    <w:p w:rsidR="00B47A13" w:rsidRDefault="00F633FB">
      <w:pPr>
        <w:widowControl w:val="0"/>
        <w:spacing w:before="120"/>
        <w:ind w:firstLine="720"/>
        <w:jc w:val="both"/>
        <w:rPr>
          <w:sz w:val="28"/>
          <w:szCs w:val="28"/>
          <w:lang w:val="da-DK"/>
        </w:rPr>
      </w:pPr>
      <w:r>
        <w:rPr>
          <w:sz w:val="28"/>
          <w:szCs w:val="28"/>
          <w:lang w:val="da-DK"/>
        </w:rPr>
        <w:t>- Chỉ số 24: Tỷ lệ chi ngân sách cho hoạt động sự nghiệp bảo vệ môi trường đạt 2,71%.</w:t>
      </w:r>
    </w:p>
    <w:p w:rsidR="00B47A13" w:rsidRDefault="00F633FB">
      <w:pPr>
        <w:widowControl w:val="0"/>
        <w:spacing w:before="120"/>
        <w:ind w:firstLine="720"/>
        <w:jc w:val="both"/>
        <w:rPr>
          <w:sz w:val="28"/>
          <w:szCs w:val="28"/>
          <w:lang w:val="da-DK"/>
        </w:rPr>
      </w:pPr>
      <w:r>
        <w:rPr>
          <w:sz w:val="28"/>
          <w:szCs w:val="28"/>
          <w:lang w:val="da-DK"/>
        </w:rPr>
        <w:t>- Chỉ số 25: Số lượng công chức, cán bộ thực hiện nhiệm vụ bảo vệ môi trường/triệu dân đạt 155 người/triệu dân.</w:t>
      </w:r>
    </w:p>
    <w:p w:rsidR="00B47A13" w:rsidRDefault="00F633FB">
      <w:pPr>
        <w:widowControl w:val="0"/>
        <w:spacing w:before="120"/>
        <w:ind w:firstLine="720"/>
        <w:jc w:val="both"/>
        <w:rPr>
          <w:sz w:val="28"/>
          <w:szCs w:val="28"/>
          <w:lang w:val="da-DK"/>
        </w:rPr>
      </w:pPr>
      <w:r>
        <w:rPr>
          <w:sz w:val="28"/>
          <w:szCs w:val="28"/>
          <w:lang w:val="da-DK"/>
        </w:rPr>
        <w:t>- Chỉ số 26: Tỷ lệ số vụ việc phản ánh, kiến nghị về ô nhiễm môi trường thông qua đường dây nóng đã được xử lý đạt 100%.</w:t>
      </w:r>
    </w:p>
    <w:p w:rsidR="00B47A13" w:rsidRDefault="00F633FB">
      <w:pPr>
        <w:widowControl w:val="0"/>
        <w:spacing w:before="120"/>
        <w:ind w:firstLine="720"/>
        <w:jc w:val="both"/>
        <w:rPr>
          <w:sz w:val="28"/>
          <w:szCs w:val="28"/>
          <w:lang w:val="da-DK"/>
        </w:rPr>
      </w:pPr>
      <w:r>
        <w:rPr>
          <w:sz w:val="28"/>
          <w:szCs w:val="28"/>
          <w:lang w:val="da-DK"/>
        </w:rPr>
        <w:t xml:space="preserve">Kèm theo Quyết định này gồm: </w:t>
      </w:r>
    </w:p>
    <w:p w:rsidR="00B47A13" w:rsidRDefault="00F633FB">
      <w:pPr>
        <w:widowControl w:val="0"/>
        <w:spacing w:before="120"/>
        <w:ind w:firstLine="720"/>
        <w:jc w:val="both"/>
        <w:rPr>
          <w:sz w:val="28"/>
          <w:lang w:val="da-DK"/>
        </w:rPr>
      </w:pPr>
      <w:r>
        <w:rPr>
          <w:sz w:val="28"/>
          <w:szCs w:val="28"/>
          <w:lang w:val="da-DK"/>
        </w:rPr>
        <w:t xml:space="preserve">- Phụ lục 1: 26 Biểu tự đánh giá kết quả thực hiện các chỉ số thành phần </w:t>
      </w:r>
      <w:r>
        <w:rPr>
          <w:sz w:val="28"/>
          <w:lang w:val="da-DK"/>
        </w:rPr>
        <w:t xml:space="preserve">nhóm I của </w:t>
      </w:r>
      <w:r>
        <w:rPr>
          <w:sz w:val="28"/>
          <w:szCs w:val="28"/>
          <w:lang w:val="nl-NL"/>
        </w:rPr>
        <w:t xml:space="preserve">Bộ chỉ số </w:t>
      </w:r>
      <w:r>
        <w:rPr>
          <w:sz w:val="28"/>
          <w:szCs w:val="28"/>
          <w:lang w:val="da-DK"/>
        </w:rPr>
        <w:t>đánh giá kết quả bảo vệ môi trường</w:t>
      </w:r>
      <w:r>
        <w:rPr>
          <w:sz w:val="28"/>
          <w:lang w:val="da-DK"/>
        </w:rPr>
        <w:t xml:space="preserve"> tỉnh Ninh Thuận năm 2023</w:t>
      </w:r>
      <w:r w:rsidR="00A91E99">
        <w:rPr>
          <w:sz w:val="28"/>
          <w:lang w:val="da-DK"/>
        </w:rPr>
        <w:t>.</w:t>
      </w:r>
      <w:r>
        <w:rPr>
          <w:sz w:val="28"/>
          <w:lang w:val="da-DK"/>
        </w:rPr>
        <w:t xml:space="preserve"> </w:t>
      </w:r>
    </w:p>
    <w:p w:rsidR="00B47A13" w:rsidRDefault="00F633FB">
      <w:pPr>
        <w:widowControl w:val="0"/>
        <w:spacing w:before="120"/>
        <w:ind w:firstLine="720"/>
        <w:jc w:val="both"/>
        <w:rPr>
          <w:sz w:val="28"/>
          <w:lang w:val="da-DK"/>
        </w:rPr>
      </w:pPr>
      <w:r>
        <w:rPr>
          <w:sz w:val="28"/>
          <w:lang w:val="da-DK"/>
        </w:rPr>
        <w:t xml:space="preserve">- Phụ lục 2: </w:t>
      </w:r>
      <w:r>
        <w:rPr>
          <w:sz w:val="28"/>
          <w:szCs w:val="28"/>
          <w:lang w:val="da-DK"/>
        </w:rPr>
        <w:t xml:space="preserve">Bảng tổng hợp kết quả tự đánh giá kết quả thực hiện các chỉ số thành phần </w:t>
      </w:r>
      <w:r>
        <w:rPr>
          <w:sz w:val="28"/>
          <w:lang w:val="da-DK"/>
        </w:rPr>
        <w:t xml:space="preserve">nhóm I của </w:t>
      </w:r>
      <w:r>
        <w:rPr>
          <w:sz w:val="28"/>
          <w:szCs w:val="28"/>
          <w:lang w:val="nl-NL"/>
        </w:rPr>
        <w:t xml:space="preserve">Bộ chỉ số </w:t>
      </w:r>
      <w:r>
        <w:rPr>
          <w:sz w:val="28"/>
          <w:szCs w:val="28"/>
          <w:lang w:val="da-DK"/>
        </w:rPr>
        <w:t>đánh giá kết quả bảo vệ môi trường</w:t>
      </w:r>
      <w:r>
        <w:rPr>
          <w:sz w:val="28"/>
          <w:lang w:val="da-DK"/>
        </w:rPr>
        <w:t xml:space="preserve"> tỉnh Ninh Thuận năm 2023</w:t>
      </w:r>
      <w:r w:rsidR="00A91E99">
        <w:rPr>
          <w:sz w:val="28"/>
          <w:lang w:val="da-DK"/>
        </w:rPr>
        <w:t>.</w:t>
      </w:r>
      <w:r>
        <w:rPr>
          <w:sz w:val="28"/>
          <w:lang w:val="da-DK"/>
        </w:rPr>
        <w:t xml:space="preserve"> </w:t>
      </w:r>
    </w:p>
    <w:p w:rsidR="00B47A13" w:rsidRDefault="00F633FB">
      <w:pPr>
        <w:widowControl w:val="0"/>
        <w:spacing w:before="120"/>
        <w:ind w:firstLine="720"/>
        <w:jc w:val="both"/>
        <w:rPr>
          <w:sz w:val="28"/>
          <w:lang w:val="da-DK"/>
        </w:rPr>
      </w:pPr>
      <w:r>
        <w:rPr>
          <w:sz w:val="28"/>
          <w:lang w:val="da-DK"/>
        </w:rPr>
        <w:t xml:space="preserve">- Phụ lục 3: Bảng giải trình kết quả tính toán các chỉ số </w:t>
      </w:r>
      <w:r>
        <w:rPr>
          <w:sz w:val="28"/>
          <w:szCs w:val="28"/>
          <w:lang w:val="da-DK"/>
        </w:rPr>
        <w:t xml:space="preserve">thành phần </w:t>
      </w:r>
      <w:r>
        <w:rPr>
          <w:sz w:val="28"/>
          <w:lang w:val="da-DK"/>
        </w:rPr>
        <w:t xml:space="preserve">nhóm I của </w:t>
      </w:r>
      <w:r>
        <w:rPr>
          <w:sz w:val="28"/>
          <w:szCs w:val="28"/>
          <w:lang w:val="nl-NL"/>
        </w:rPr>
        <w:t xml:space="preserve">Bộ chỉ số </w:t>
      </w:r>
      <w:r>
        <w:rPr>
          <w:sz w:val="28"/>
          <w:szCs w:val="28"/>
          <w:lang w:val="da-DK"/>
        </w:rPr>
        <w:t>đánh giá kết quả bảo vệ môi trường tỉnh Ninh Thuận năm 2023</w:t>
      </w:r>
      <w:r>
        <w:rPr>
          <w:sz w:val="28"/>
          <w:lang w:val="da-DK"/>
        </w:rPr>
        <w:t>.</w:t>
      </w:r>
    </w:p>
    <w:p w:rsidR="00B47A13" w:rsidRDefault="00F633FB">
      <w:pPr>
        <w:widowControl w:val="0"/>
        <w:spacing w:before="120"/>
        <w:ind w:firstLine="720"/>
        <w:jc w:val="both"/>
        <w:rPr>
          <w:bCs/>
          <w:sz w:val="28"/>
          <w:szCs w:val="28"/>
          <w:lang w:val="da-DK"/>
        </w:rPr>
      </w:pPr>
      <w:r>
        <w:rPr>
          <w:b/>
          <w:bCs/>
          <w:sz w:val="28"/>
          <w:szCs w:val="28"/>
          <w:lang w:val="da-DK"/>
        </w:rPr>
        <w:t xml:space="preserve">Điều 2. </w:t>
      </w:r>
      <w:r>
        <w:rPr>
          <w:bCs/>
          <w:sz w:val="28"/>
          <w:szCs w:val="28"/>
          <w:lang w:val="da-DK"/>
        </w:rPr>
        <w:t>Quyết định này có hiệu lực thi hành kể từ ngày ký.</w:t>
      </w:r>
    </w:p>
    <w:p w:rsidR="00B47A13" w:rsidRDefault="00F633FB">
      <w:pPr>
        <w:widowControl w:val="0"/>
        <w:spacing w:before="120"/>
        <w:ind w:firstLine="720"/>
        <w:jc w:val="both"/>
        <w:rPr>
          <w:bCs/>
          <w:sz w:val="28"/>
          <w:szCs w:val="28"/>
          <w:lang w:val="da-DK"/>
        </w:rPr>
      </w:pPr>
      <w:r>
        <w:rPr>
          <w:sz w:val="28"/>
          <w:szCs w:val="28"/>
          <w:lang w:val="vi-VN"/>
        </w:rPr>
        <w:t xml:space="preserve">Chánh Văn phòng Ủy ban nhân dân tỉnh; Giám đốc các Sở: Tài nguyên và Môi trường, Giao thông </w:t>
      </w:r>
      <w:r>
        <w:rPr>
          <w:sz w:val="28"/>
          <w:szCs w:val="28"/>
          <w:lang w:val="da-DK"/>
        </w:rPr>
        <w:t>v</w:t>
      </w:r>
      <w:r>
        <w:rPr>
          <w:sz w:val="28"/>
          <w:szCs w:val="28"/>
          <w:lang w:val="vi-VN"/>
        </w:rPr>
        <w:t>ận tải</w:t>
      </w:r>
      <w:r>
        <w:rPr>
          <w:sz w:val="28"/>
          <w:szCs w:val="28"/>
          <w:lang w:val="da-DK"/>
        </w:rPr>
        <w:t>,</w:t>
      </w:r>
      <w:r>
        <w:rPr>
          <w:sz w:val="28"/>
          <w:szCs w:val="28"/>
          <w:lang w:val="vi-VN"/>
        </w:rPr>
        <w:t xml:space="preserve"> Nông nghiệp và Phát triển nông thôn</w:t>
      </w:r>
      <w:r>
        <w:rPr>
          <w:sz w:val="28"/>
          <w:szCs w:val="28"/>
          <w:lang w:val="da-DK"/>
        </w:rPr>
        <w:t>,</w:t>
      </w:r>
      <w:r>
        <w:rPr>
          <w:sz w:val="28"/>
          <w:szCs w:val="28"/>
          <w:lang w:val="vi-VN"/>
        </w:rPr>
        <w:t xml:space="preserve"> Xây dựng</w:t>
      </w:r>
      <w:r>
        <w:rPr>
          <w:sz w:val="28"/>
          <w:szCs w:val="28"/>
          <w:lang w:val="da-DK"/>
        </w:rPr>
        <w:t xml:space="preserve">, Công </w:t>
      </w:r>
      <w:r w:rsidR="00A91E99">
        <w:rPr>
          <w:sz w:val="28"/>
          <w:szCs w:val="28"/>
          <w:lang w:val="da-DK"/>
        </w:rPr>
        <w:t>Thương</w:t>
      </w:r>
      <w:r>
        <w:rPr>
          <w:sz w:val="28"/>
          <w:szCs w:val="28"/>
          <w:lang w:val="da-DK"/>
        </w:rPr>
        <w:t xml:space="preserve">, Tài chính, Y tế; Giám đốc Ban Quản lý các Vườn Quốc gia: Núi Chúa, Phước Bình; Trưởng Ban Quản lý các khu công nghiệp; Cục </w:t>
      </w:r>
      <w:r w:rsidR="00BF1200">
        <w:rPr>
          <w:sz w:val="28"/>
          <w:szCs w:val="28"/>
          <w:lang w:val="da-DK"/>
        </w:rPr>
        <w:t>T</w:t>
      </w:r>
      <w:r>
        <w:rPr>
          <w:sz w:val="28"/>
          <w:szCs w:val="28"/>
          <w:lang w:val="da-DK"/>
        </w:rPr>
        <w:t xml:space="preserve">hống kê tỉnh; Giám đốc Công ty Điện lực Ninh Thuận; </w:t>
      </w:r>
      <w:r>
        <w:rPr>
          <w:sz w:val="28"/>
          <w:szCs w:val="28"/>
          <w:lang w:val="vi-VN"/>
        </w:rPr>
        <w:t xml:space="preserve">Chủ tịch Ủy ban nhân dân </w:t>
      </w:r>
      <w:r>
        <w:rPr>
          <w:sz w:val="28"/>
          <w:szCs w:val="28"/>
          <w:lang w:val="da-DK"/>
        </w:rPr>
        <w:t xml:space="preserve">các huyện, </w:t>
      </w:r>
      <w:r>
        <w:rPr>
          <w:sz w:val="28"/>
          <w:szCs w:val="28"/>
          <w:lang w:val="vi-VN"/>
        </w:rPr>
        <w:t>thành phố</w:t>
      </w:r>
      <w:r>
        <w:rPr>
          <w:sz w:val="28"/>
          <w:szCs w:val="28"/>
          <w:lang w:val="da-DK"/>
        </w:rPr>
        <w:t>; Chủ tịch Ủy ban nhân dân các xã, phường, thị trấn</w:t>
      </w:r>
      <w:r>
        <w:rPr>
          <w:sz w:val="28"/>
          <w:szCs w:val="28"/>
          <w:lang w:val="vi-VN"/>
        </w:rPr>
        <w:t xml:space="preserve"> và Thủ trưởng các cơ quan, đơn vị có liên quan chịu trách nhiệm thi hành Quyết định này./.</w:t>
      </w:r>
    </w:p>
    <w:p w:rsidR="00B47A13" w:rsidRDefault="00B47A13">
      <w:pPr>
        <w:widowControl w:val="0"/>
        <w:spacing w:before="120"/>
        <w:ind w:firstLine="720"/>
        <w:jc w:val="both"/>
        <w:rPr>
          <w:sz w:val="28"/>
          <w:szCs w:val="20"/>
          <w:lang w:val="da-DK"/>
        </w:rPr>
      </w:pPr>
    </w:p>
    <w:tbl>
      <w:tblPr>
        <w:tblW w:w="9180" w:type="dxa"/>
        <w:tblLook w:val="01E0" w:firstRow="1" w:lastRow="1" w:firstColumn="1" w:lastColumn="1" w:noHBand="0" w:noVBand="0"/>
      </w:tblPr>
      <w:tblGrid>
        <w:gridCol w:w="5688"/>
        <w:gridCol w:w="3492"/>
      </w:tblGrid>
      <w:tr w:rsidR="00CF421E" w:rsidTr="00A91E99">
        <w:trPr>
          <w:trHeight w:val="2748"/>
        </w:trPr>
        <w:tc>
          <w:tcPr>
            <w:tcW w:w="5688" w:type="dxa"/>
            <w:hideMark/>
          </w:tcPr>
          <w:p w:rsidR="00CF421E" w:rsidRDefault="00CF421E">
            <w:pPr>
              <w:spacing w:line="256" w:lineRule="auto"/>
              <w:jc w:val="both"/>
              <w:rPr>
                <w:b/>
                <w:i/>
                <w:sz w:val="24"/>
                <w:szCs w:val="24"/>
              </w:rPr>
            </w:pPr>
            <w:r>
              <w:rPr>
                <w:b/>
                <w:i/>
                <w:sz w:val="24"/>
                <w:szCs w:val="24"/>
              </w:rPr>
              <w:t>Nơi nhận:</w:t>
            </w:r>
          </w:p>
          <w:p w:rsidR="00CF421E" w:rsidRDefault="00CF421E">
            <w:pPr>
              <w:spacing w:line="256" w:lineRule="auto"/>
              <w:jc w:val="both"/>
              <w:rPr>
                <w:sz w:val="22"/>
                <w:szCs w:val="22"/>
              </w:rPr>
            </w:pPr>
            <w:r>
              <w:rPr>
                <w:sz w:val="22"/>
                <w:szCs w:val="22"/>
              </w:rPr>
              <w:t>- Như Điều 2;</w:t>
            </w:r>
          </w:p>
          <w:p w:rsidR="00CF421E" w:rsidRDefault="00CF421E">
            <w:pPr>
              <w:spacing w:line="256" w:lineRule="auto"/>
              <w:jc w:val="both"/>
              <w:rPr>
                <w:sz w:val="22"/>
                <w:szCs w:val="22"/>
              </w:rPr>
            </w:pPr>
            <w:r>
              <w:rPr>
                <w:sz w:val="22"/>
                <w:szCs w:val="22"/>
              </w:rPr>
              <w:t>- Bộ Tài nguyên và Môi trường (b</w:t>
            </w:r>
            <w:r w:rsidR="00A91E99">
              <w:rPr>
                <w:sz w:val="22"/>
                <w:szCs w:val="22"/>
              </w:rPr>
              <w:t>/c</w:t>
            </w:r>
            <w:r>
              <w:rPr>
                <w:sz w:val="22"/>
                <w:szCs w:val="22"/>
              </w:rPr>
              <w:t>);</w:t>
            </w:r>
          </w:p>
          <w:p w:rsidR="00CF421E" w:rsidRDefault="00CF421E">
            <w:pPr>
              <w:spacing w:line="256" w:lineRule="auto"/>
              <w:jc w:val="both"/>
              <w:rPr>
                <w:sz w:val="22"/>
                <w:szCs w:val="22"/>
              </w:rPr>
            </w:pPr>
            <w:r>
              <w:rPr>
                <w:sz w:val="22"/>
                <w:szCs w:val="22"/>
              </w:rPr>
              <w:t xml:space="preserve">- Vụ Môi trường; </w:t>
            </w:r>
          </w:p>
          <w:p w:rsidR="00CF421E" w:rsidRDefault="00CF421E">
            <w:pPr>
              <w:spacing w:line="256" w:lineRule="auto"/>
              <w:jc w:val="both"/>
              <w:rPr>
                <w:sz w:val="22"/>
                <w:szCs w:val="22"/>
              </w:rPr>
            </w:pPr>
            <w:r>
              <w:rPr>
                <w:sz w:val="22"/>
                <w:szCs w:val="22"/>
              </w:rPr>
              <w:t xml:space="preserve">- Chủ tịch và PCT UBND tỉnh (Lê Huyền); </w:t>
            </w:r>
          </w:p>
          <w:p w:rsidR="00CF421E" w:rsidRDefault="00CF421E">
            <w:pPr>
              <w:spacing w:line="256" w:lineRule="auto"/>
              <w:jc w:val="both"/>
              <w:rPr>
                <w:sz w:val="22"/>
                <w:szCs w:val="22"/>
              </w:rPr>
            </w:pPr>
            <w:r>
              <w:rPr>
                <w:sz w:val="22"/>
                <w:szCs w:val="22"/>
              </w:rPr>
              <w:t>- VPUB: LĐ, KTTH;</w:t>
            </w:r>
          </w:p>
          <w:p w:rsidR="00CF421E" w:rsidRPr="00CF421E" w:rsidRDefault="00CF421E">
            <w:pPr>
              <w:spacing w:line="256" w:lineRule="auto"/>
              <w:jc w:val="both"/>
              <w:rPr>
                <w:vertAlign w:val="subscript"/>
              </w:rPr>
            </w:pPr>
            <w:r>
              <w:rPr>
                <w:sz w:val="22"/>
                <w:szCs w:val="22"/>
              </w:rPr>
              <w:t>- Lưu: VT.</w:t>
            </w:r>
            <w:r w:rsidRPr="00CF421E">
              <w:rPr>
                <w:sz w:val="20"/>
                <w:szCs w:val="20"/>
                <w:vertAlign w:val="subscript"/>
              </w:rPr>
              <w:t>LXH</w:t>
            </w:r>
          </w:p>
          <w:p w:rsidR="00CF421E" w:rsidRDefault="00CF421E" w:rsidP="005D67D8">
            <w:pPr>
              <w:spacing w:line="256" w:lineRule="auto"/>
              <w:ind w:firstLine="180"/>
              <w:jc w:val="both"/>
              <w:rPr>
                <w:b/>
                <w:i/>
                <w:sz w:val="24"/>
                <w:szCs w:val="24"/>
              </w:rPr>
            </w:pPr>
          </w:p>
        </w:tc>
        <w:tc>
          <w:tcPr>
            <w:tcW w:w="3492" w:type="dxa"/>
            <w:hideMark/>
          </w:tcPr>
          <w:p w:rsidR="00CF421E" w:rsidRDefault="00CF421E">
            <w:pPr>
              <w:spacing w:line="256" w:lineRule="auto"/>
              <w:jc w:val="center"/>
              <w:rPr>
                <w:b/>
                <w:sz w:val="28"/>
                <w:szCs w:val="28"/>
              </w:rPr>
            </w:pPr>
            <w:r>
              <w:rPr>
                <w:b/>
                <w:sz w:val="28"/>
                <w:szCs w:val="28"/>
              </w:rPr>
              <w:t>KT. CHỦ TỊCH</w:t>
            </w:r>
          </w:p>
          <w:p w:rsidR="00CF421E" w:rsidRDefault="00CF421E">
            <w:pPr>
              <w:spacing w:line="256" w:lineRule="auto"/>
              <w:jc w:val="center"/>
              <w:rPr>
                <w:b/>
                <w:sz w:val="28"/>
                <w:szCs w:val="28"/>
              </w:rPr>
            </w:pPr>
            <w:r>
              <w:rPr>
                <w:b/>
                <w:sz w:val="28"/>
                <w:szCs w:val="28"/>
              </w:rPr>
              <w:t>PHÓ CHỦ TỊCH</w:t>
            </w:r>
          </w:p>
          <w:p w:rsidR="00CF421E" w:rsidRDefault="00CF421E">
            <w:pPr>
              <w:spacing w:line="256" w:lineRule="auto"/>
              <w:jc w:val="center"/>
              <w:rPr>
                <w:b/>
                <w:sz w:val="28"/>
                <w:szCs w:val="28"/>
              </w:rPr>
            </w:pPr>
          </w:p>
          <w:p w:rsidR="00CF421E" w:rsidRDefault="00CF421E">
            <w:pPr>
              <w:spacing w:line="256" w:lineRule="auto"/>
              <w:jc w:val="center"/>
              <w:rPr>
                <w:b/>
                <w:sz w:val="28"/>
                <w:szCs w:val="28"/>
              </w:rPr>
            </w:pPr>
          </w:p>
          <w:p w:rsidR="00CF421E" w:rsidRDefault="00CF421E">
            <w:pPr>
              <w:tabs>
                <w:tab w:val="left" w:pos="726"/>
                <w:tab w:val="center" w:pos="1692"/>
              </w:tabs>
              <w:spacing w:line="256" w:lineRule="auto"/>
              <w:rPr>
                <w:b/>
                <w:sz w:val="28"/>
                <w:szCs w:val="28"/>
              </w:rPr>
            </w:pPr>
          </w:p>
          <w:p w:rsidR="00CF421E" w:rsidRDefault="00CF421E">
            <w:pPr>
              <w:tabs>
                <w:tab w:val="left" w:pos="726"/>
                <w:tab w:val="center" w:pos="1692"/>
              </w:tabs>
              <w:spacing w:line="256" w:lineRule="auto"/>
              <w:jc w:val="center"/>
              <w:rPr>
                <w:b/>
                <w:sz w:val="28"/>
                <w:szCs w:val="28"/>
              </w:rPr>
            </w:pPr>
          </w:p>
          <w:p w:rsidR="00CF421E" w:rsidRDefault="00CF421E">
            <w:pPr>
              <w:tabs>
                <w:tab w:val="left" w:pos="726"/>
                <w:tab w:val="center" w:pos="1692"/>
              </w:tabs>
              <w:spacing w:line="256" w:lineRule="auto"/>
              <w:jc w:val="center"/>
              <w:rPr>
                <w:b/>
                <w:sz w:val="28"/>
                <w:szCs w:val="28"/>
              </w:rPr>
            </w:pPr>
          </w:p>
          <w:p w:rsidR="00CF421E" w:rsidRDefault="00CF421E" w:rsidP="00EE5156">
            <w:pPr>
              <w:tabs>
                <w:tab w:val="left" w:pos="726"/>
                <w:tab w:val="center" w:pos="1692"/>
              </w:tabs>
              <w:spacing w:line="256" w:lineRule="auto"/>
              <w:jc w:val="center"/>
              <w:rPr>
                <w:b/>
                <w:sz w:val="28"/>
                <w:szCs w:val="28"/>
              </w:rPr>
            </w:pPr>
            <w:r>
              <w:rPr>
                <w:b/>
                <w:sz w:val="28"/>
                <w:szCs w:val="28"/>
              </w:rPr>
              <w:t>Lê Huyền</w:t>
            </w:r>
          </w:p>
        </w:tc>
      </w:tr>
    </w:tbl>
    <w:p w:rsidR="00B47A13" w:rsidRDefault="00B47A13">
      <w:bookmarkStart w:id="0" w:name="_GoBack"/>
      <w:bookmarkEnd w:id="0"/>
    </w:p>
    <w:sectPr w:rsidR="00B47A13">
      <w:headerReference w:type="default" r:id="rId7"/>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A4" w:rsidRDefault="00A13AA4">
      <w:r>
        <w:separator/>
      </w:r>
    </w:p>
  </w:endnote>
  <w:endnote w:type="continuationSeparator" w:id="0">
    <w:p w:rsidR="00A13AA4" w:rsidRDefault="00A1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A4" w:rsidRDefault="00A13AA4">
      <w:r>
        <w:separator/>
      </w:r>
    </w:p>
  </w:footnote>
  <w:footnote w:type="continuationSeparator" w:id="0">
    <w:p w:rsidR="00A13AA4" w:rsidRDefault="00A13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401315"/>
      <w:docPartObj>
        <w:docPartGallery w:val="Page Numbers (Top of Page)"/>
        <w:docPartUnique/>
      </w:docPartObj>
    </w:sdtPr>
    <w:sdtEndPr>
      <w:rPr>
        <w:noProof/>
        <w:sz w:val="28"/>
        <w:szCs w:val="28"/>
      </w:rPr>
    </w:sdtEndPr>
    <w:sdtContent>
      <w:p w:rsidR="00B47A13" w:rsidRDefault="00F633FB">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A91E99">
          <w:rPr>
            <w:noProof/>
            <w:sz w:val="28"/>
            <w:szCs w:val="28"/>
          </w:rPr>
          <w:t>2</w:t>
        </w:r>
        <w:r>
          <w:rPr>
            <w:noProof/>
            <w:sz w:val="28"/>
            <w:szCs w:val="28"/>
          </w:rPr>
          <w:fldChar w:fldCharType="end"/>
        </w:r>
      </w:p>
    </w:sdtContent>
  </w:sdt>
  <w:p w:rsidR="00B47A13" w:rsidRDefault="00B47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13"/>
    <w:rsid w:val="00220E05"/>
    <w:rsid w:val="00287E87"/>
    <w:rsid w:val="00A13AA4"/>
    <w:rsid w:val="00A91E99"/>
    <w:rsid w:val="00B47A13"/>
    <w:rsid w:val="00BF1200"/>
    <w:rsid w:val="00C71B9C"/>
    <w:rsid w:val="00CD3952"/>
    <w:rsid w:val="00CF421E"/>
    <w:rsid w:val="00F633FB"/>
    <w:rsid w:val="00F900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 w:val="26"/>
      <w:szCs w:val="2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 w:val="26"/>
      <w:szCs w:val="2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Windows User</dc:creator>
  <cp:lastModifiedBy>Thanh Binh</cp:lastModifiedBy>
  <cp:revision>13</cp:revision>
  <dcterms:created xsi:type="dcterms:W3CDTF">2023-03-07T08:26:00Z</dcterms:created>
  <dcterms:modified xsi:type="dcterms:W3CDTF">2024-04-10T02:20:00Z</dcterms:modified>
</cp:coreProperties>
</file>