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F5" w:rsidRPr="00A77017" w:rsidRDefault="005850F5" w:rsidP="005850F5">
      <w:pPr>
        <w:ind w:firstLine="720"/>
        <w:rPr>
          <w:sz w:val="2"/>
        </w:rPr>
      </w:pPr>
    </w:p>
    <w:tbl>
      <w:tblPr>
        <w:tblW w:w="9267" w:type="dxa"/>
        <w:jc w:val="center"/>
        <w:tblInd w:w="196" w:type="dxa"/>
        <w:tblLayout w:type="fixed"/>
        <w:tblLook w:val="0000" w:firstRow="0" w:lastRow="0" w:firstColumn="0" w:lastColumn="0" w:noHBand="0" w:noVBand="0"/>
      </w:tblPr>
      <w:tblGrid>
        <w:gridCol w:w="2977"/>
        <w:gridCol w:w="236"/>
        <w:gridCol w:w="48"/>
        <w:gridCol w:w="6006"/>
      </w:tblGrid>
      <w:tr w:rsidR="00FF24C7" w:rsidRPr="00FD3139" w:rsidTr="00D64230">
        <w:trPr>
          <w:trHeight w:val="136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jc w:val="center"/>
              <w:rPr>
                <w:b/>
                <w:bCs/>
                <w:sz w:val="26"/>
                <w:szCs w:val="26"/>
              </w:rPr>
            </w:pPr>
            <w:r w:rsidRPr="00D64230">
              <w:rPr>
                <w:b/>
                <w:bCs/>
                <w:sz w:val="26"/>
                <w:szCs w:val="26"/>
              </w:rPr>
              <w:t>ỦY BAN NHÂN DÂN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ind w:left="-108" w:right="-144"/>
              <w:rPr>
                <w:b/>
                <w:bCs/>
                <w:sz w:val="26"/>
                <w:szCs w:val="26"/>
              </w:rPr>
            </w:pPr>
            <w:r w:rsidRPr="00D64230">
              <w:rPr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</w:tc>
      </w:tr>
      <w:tr w:rsidR="00FF24C7" w:rsidRPr="00FD3139" w:rsidTr="00D64230">
        <w:trPr>
          <w:trHeight w:val="136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pStyle w:val="Heading1"/>
              <w:rPr>
                <w:rFonts w:ascii="Times New Roman" w:hAnsi="Times New Roman"/>
                <w:color w:val="auto"/>
              </w:rPr>
            </w:pPr>
            <w:r w:rsidRPr="00D64230">
              <w:rPr>
                <w:rFonts w:ascii="Times New Roman" w:hAnsi="Times New Roman"/>
                <w:color w:val="auto"/>
              </w:rPr>
              <w:t>TỈNH NINH THUẬN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jc w:val="center"/>
              <w:rPr>
                <w:b/>
                <w:bCs/>
                <w:sz w:val="26"/>
                <w:szCs w:val="26"/>
              </w:rPr>
            </w:pPr>
            <w:r w:rsidRPr="00E103E6">
              <w:rPr>
                <w:b/>
                <w:bCs/>
                <w:szCs w:val="26"/>
              </w:rPr>
              <w:t>Độc lập - Tự do - Hạnh phúc</w:t>
            </w:r>
          </w:p>
        </w:tc>
      </w:tr>
      <w:tr w:rsidR="00FF24C7" w:rsidRPr="00FD3139" w:rsidTr="00D64230">
        <w:trPr>
          <w:cantSplit/>
          <w:trHeight w:val="136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3D5C" w:rsidP="002F4CF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line id="_x0000_s1028" style="position:absolute;left:0;text-align:left;z-index:251662336;mso-position-horizontal-relative:text;mso-position-vertical-relative:text" from="45pt,1.8pt" to="98.4pt,1.8pt"/>
              </w:pic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3D5C" w:rsidP="002F4CF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line id="_x0000_s1029" style="position:absolute;left:0;text-align:left;z-index:251663360;mso-position-horizontal-relative:text;mso-position-vertical-relative:text" from="70.35pt,1.2pt" to="220.1pt,1.2pt"/>
              </w:pict>
            </w:r>
          </w:p>
        </w:tc>
      </w:tr>
      <w:tr w:rsidR="00FF24C7" w:rsidRPr="00FD3139" w:rsidTr="00D64230">
        <w:trPr>
          <w:trHeight w:val="13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FF24C7">
            <w:pPr>
              <w:rPr>
                <w:sz w:val="26"/>
                <w:szCs w:val="26"/>
              </w:rPr>
            </w:pPr>
            <w:r w:rsidRPr="00D64230">
              <w:rPr>
                <w:sz w:val="26"/>
                <w:szCs w:val="26"/>
              </w:rPr>
              <w:t xml:space="preserve"> Số:          /UBND-VXNV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E103E6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6423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Ninh Thuận, ngày       tháng </w:t>
            </w:r>
            <w:r w:rsidR="00E103E6"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  <w:r w:rsidRPr="00D6423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năm 2022</w:t>
            </w:r>
          </w:p>
        </w:tc>
      </w:tr>
      <w:tr w:rsidR="00FF24C7" w:rsidRPr="00FD3139" w:rsidTr="00D64230">
        <w:trPr>
          <w:trHeight w:val="98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64230" w:rsidRDefault="00FF24C7" w:rsidP="00FF24C7">
            <w:pPr>
              <w:jc w:val="center"/>
              <w:rPr>
                <w:sz w:val="26"/>
                <w:szCs w:val="26"/>
              </w:rPr>
            </w:pPr>
            <w:r w:rsidRPr="00D64230">
              <w:rPr>
                <w:sz w:val="26"/>
                <w:szCs w:val="26"/>
              </w:rPr>
              <w:t xml:space="preserve">V/v tổ chức Đại hội Đại biểu Phật giáo tỉnh </w:t>
            </w:r>
          </w:p>
          <w:p w:rsidR="00FF24C7" w:rsidRPr="00D64230" w:rsidRDefault="00FF24C7" w:rsidP="00FF24C7">
            <w:pPr>
              <w:jc w:val="center"/>
              <w:rPr>
                <w:sz w:val="26"/>
                <w:szCs w:val="26"/>
              </w:rPr>
            </w:pPr>
            <w:r w:rsidRPr="00D64230">
              <w:rPr>
                <w:sz w:val="26"/>
                <w:szCs w:val="26"/>
              </w:rPr>
              <w:t>nhiệm kỳ 2022-2027</w:t>
            </w:r>
          </w:p>
          <w:p w:rsidR="00FF24C7" w:rsidRPr="00D64230" w:rsidRDefault="00FF24C7" w:rsidP="00FF24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:rsidR="00FF24C7" w:rsidRPr="00D64230" w:rsidRDefault="00FF24C7" w:rsidP="002F4CFC">
            <w:pPr>
              <w:pStyle w:val="Heading2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5850F5" w:rsidRDefault="005850F5" w:rsidP="005850F5"/>
    <w:p w:rsidR="005850F5" w:rsidRDefault="005850F5" w:rsidP="005850F5">
      <w:pPr>
        <w:spacing w:before="120"/>
      </w:pPr>
      <w:r>
        <w:t xml:space="preserve">                           Kính gửi:</w:t>
      </w:r>
    </w:p>
    <w:p w:rsidR="005850F5" w:rsidRDefault="005850F5" w:rsidP="005850F5">
      <w:pPr>
        <w:ind w:left="2880"/>
      </w:pPr>
      <w:r>
        <w:t xml:space="preserve">- </w:t>
      </w:r>
      <w:r w:rsidRPr="00C2424C">
        <w:t>Các Sở</w:t>
      </w:r>
      <w:r>
        <w:t>: Nội vụ, T</w:t>
      </w:r>
      <w:r w:rsidRPr="000B4045">
        <w:t>à</w:t>
      </w:r>
      <w:r>
        <w:t>i ch</w:t>
      </w:r>
      <w:r w:rsidRPr="000B4045">
        <w:t>í</w:t>
      </w:r>
      <w:r>
        <w:t xml:space="preserve">nh, Y tế,  Văn hóa, Thể thao   </w:t>
      </w:r>
      <w:r>
        <w:br/>
        <w:t xml:space="preserve">  và Du </w:t>
      </w:r>
      <w:r w:rsidR="00376FC5">
        <w:t>lịch, Thông tin và Truyền thông</w:t>
      </w:r>
      <w:r>
        <w:t>;</w:t>
      </w:r>
    </w:p>
    <w:p w:rsidR="005850F5" w:rsidRDefault="005850F5" w:rsidP="005850F5">
      <w:pPr>
        <w:ind w:left="2880"/>
      </w:pPr>
      <w:r>
        <w:t>- Công an tỉnh;</w:t>
      </w:r>
    </w:p>
    <w:p w:rsidR="005850F5" w:rsidRPr="004C2E19" w:rsidRDefault="005850F5" w:rsidP="005850F5">
      <w:pPr>
        <w:spacing w:after="240"/>
        <w:ind w:left="2880"/>
      </w:pPr>
      <w:r w:rsidRPr="00C2424C">
        <w:rPr>
          <w:lang w:val="vi-VN"/>
        </w:rPr>
        <w:t xml:space="preserve">- </w:t>
      </w:r>
      <w:r>
        <w:t>UBND các huyện, thành phố</w:t>
      </w:r>
      <w:r w:rsidRPr="00C2424C">
        <w:rPr>
          <w:lang w:val="vi-VN"/>
        </w:rPr>
        <w:t>.</w:t>
      </w:r>
      <w:r w:rsidRPr="00C2424C">
        <w:br/>
      </w:r>
    </w:p>
    <w:p w:rsidR="005850F5" w:rsidRDefault="005850F5" w:rsidP="005850F5">
      <w:pPr>
        <w:ind w:firstLine="720"/>
        <w:jc w:val="both"/>
        <w:rPr>
          <w:sz w:val="2"/>
        </w:rPr>
      </w:pPr>
    </w:p>
    <w:p w:rsidR="005850F5" w:rsidRDefault="005850F5" w:rsidP="005850F5">
      <w:pPr>
        <w:spacing w:before="120" w:after="120"/>
        <w:ind w:firstLine="720"/>
        <w:jc w:val="both"/>
        <w:rPr>
          <w:rFonts w:eastAsiaTheme="minorHAnsi" w:cstheme="minorBidi"/>
        </w:rPr>
      </w:pPr>
      <w:r w:rsidRPr="00530264">
        <w:rPr>
          <w:rFonts w:eastAsiaTheme="minorHAnsi" w:cstheme="minorBidi"/>
        </w:rPr>
        <w:t xml:space="preserve">Thực hiện </w:t>
      </w:r>
      <w:r>
        <w:rPr>
          <w:rFonts w:eastAsiaTheme="minorHAnsi" w:cstheme="minorBidi"/>
        </w:rPr>
        <w:t xml:space="preserve">Luật tín ngưỡng, tôn giáo, </w:t>
      </w:r>
      <w:r w:rsidRPr="00530264">
        <w:rPr>
          <w:rFonts w:eastAsiaTheme="minorHAnsi" w:cstheme="minorBidi"/>
        </w:rPr>
        <w:t>Hiến chương của GHPG Việt Nam và hướng dẫn, triển khai của Hội đồng Trị sự GHPG Việt Nam</w:t>
      </w:r>
      <w:r>
        <w:rPr>
          <w:rFonts w:eastAsiaTheme="minorHAnsi" w:cstheme="minorBidi"/>
        </w:rPr>
        <w:t>;</w:t>
      </w:r>
      <w:r w:rsidRPr="00530264">
        <w:rPr>
          <w:rFonts w:eastAsiaTheme="minorHAnsi" w:cstheme="minorBidi"/>
        </w:rPr>
        <w:t xml:space="preserve"> Ban Trị sự GHPG Việt Nam tỉnh sẽ tổ chức Đại hội Đại biểu </w:t>
      </w:r>
      <w:r>
        <w:rPr>
          <w:rFonts w:eastAsiaTheme="minorHAnsi" w:cstheme="minorBidi"/>
        </w:rPr>
        <w:t xml:space="preserve">Phật giáo </w:t>
      </w:r>
      <w:r w:rsidRPr="00530264">
        <w:rPr>
          <w:rFonts w:eastAsiaTheme="minorHAnsi" w:cstheme="minorBidi"/>
        </w:rPr>
        <w:t>tỉnh nhiệm kỳ 2022-2027. Thời gian dự kiến tổ chức trong tháng 4 năm 2022, địa điểm tổ chức tại Trung Tâm hoạt động thanh thiếu niên tỉnh Ninh Thuận</w:t>
      </w:r>
      <w:r>
        <w:rPr>
          <w:rFonts w:eastAsiaTheme="minorHAnsi" w:cstheme="minorBidi"/>
        </w:rPr>
        <w:t>.</w:t>
      </w:r>
    </w:p>
    <w:p w:rsidR="005850F5" w:rsidRDefault="005850F5" w:rsidP="005850F5">
      <w:pPr>
        <w:spacing w:before="120" w:after="120"/>
        <w:ind w:firstLine="720"/>
        <w:jc w:val="both"/>
      </w:pPr>
      <w:r w:rsidRPr="00530264">
        <w:rPr>
          <w:rFonts w:eastAsiaTheme="minorHAnsi" w:cstheme="minorBidi"/>
        </w:rPr>
        <w:t>Nhằm</w:t>
      </w:r>
      <w:r w:rsidR="00857CF1">
        <w:rPr>
          <w:rFonts w:eastAsiaTheme="minorHAnsi" w:cstheme="minorBidi"/>
        </w:rPr>
        <w:t xml:space="preserve"> </w:t>
      </w:r>
      <w:r w:rsidRPr="00530264">
        <w:rPr>
          <w:rFonts w:eastAsiaTheme="minorHAnsi" w:cstheme="minorBidi"/>
        </w:rPr>
        <w:t xml:space="preserve">hướng dẫn, </w:t>
      </w:r>
      <w:r>
        <w:rPr>
          <w:rFonts w:eastAsiaTheme="minorHAnsi" w:cstheme="minorBidi"/>
        </w:rPr>
        <w:t xml:space="preserve">hỗ trợ </w:t>
      </w:r>
      <w:r w:rsidRPr="00530264">
        <w:rPr>
          <w:rFonts w:eastAsiaTheme="minorHAnsi" w:cstheme="minorBidi"/>
        </w:rPr>
        <w:t>Ban Trị sự GHPG Việt Nam tỉnh tổ chức thành công Đại hội</w:t>
      </w:r>
      <w:r>
        <w:rPr>
          <w:rFonts w:eastAsiaTheme="minorHAnsi" w:cstheme="minorBidi"/>
        </w:rPr>
        <w:t>;</w:t>
      </w:r>
      <w:r w:rsidRPr="00530264">
        <w:rPr>
          <w:rFonts w:eastAsiaTheme="minorHAnsi" w:cstheme="minorBidi"/>
        </w:rPr>
        <w:t xml:space="preserve"> đồng thời động viên chức sắc, chức việc và tín đồ Phật tử </w:t>
      </w:r>
      <w:r>
        <w:rPr>
          <w:rFonts w:eastAsiaTheme="minorHAnsi" w:cstheme="minorBidi"/>
        </w:rPr>
        <w:t xml:space="preserve">trong tỉnh </w:t>
      </w:r>
      <w:r w:rsidRPr="00530264">
        <w:rPr>
          <w:rFonts w:eastAsiaTheme="minorHAnsi" w:cstheme="minorBidi"/>
        </w:rPr>
        <w:t xml:space="preserve">tiếp tục </w:t>
      </w:r>
      <w:r>
        <w:rPr>
          <w:rFonts w:eastAsiaTheme="minorHAnsi" w:cstheme="minorBidi"/>
        </w:rPr>
        <w:t xml:space="preserve">tham gia </w:t>
      </w:r>
      <w:r w:rsidRPr="00530264">
        <w:rPr>
          <w:rFonts w:eastAsiaTheme="minorHAnsi" w:cstheme="minorBidi"/>
        </w:rPr>
        <w:t>xây dựng Giáo hội Phật giáo Việt Nam theo đường hướng yêu nước, gắn bó đồng hành cùng dân tộc</w:t>
      </w:r>
      <w:r>
        <w:t>;</w:t>
      </w:r>
    </w:p>
    <w:p w:rsidR="005850F5" w:rsidRDefault="005850F5" w:rsidP="005850F5">
      <w:pPr>
        <w:spacing w:before="240" w:after="240"/>
        <w:ind w:firstLine="720"/>
        <w:jc w:val="both"/>
      </w:pPr>
      <w:r w:rsidRPr="003602F9">
        <w:rPr>
          <w:lang w:val="vi-VN"/>
        </w:rPr>
        <w:t>Chủ tịch Ủy ban nhân dân tỉnh yêu cầu lãnh đạo các Sở ngành</w:t>
      </w:r>
      <w:r>
        <w:t xml:space="preserve">, địa phương có liên quan </w:t>
      </w:r>
      <w:r w:rsidRPr="003602F9">
        <w:t>triển khai</w:t>
      </w:r>
      <w:r>
        <w:t>,</w:t>
      </w:r>
      <w:r w:rsidRPr="003602F9">
        <w:rPr>
          <w:lang w:val="vi-VN"/>
        </w:rPr>
        <w:t xml:space="preserve"> thực hiện một số nội dung sau:</w:t>
      </w:r>
    </w:p>
    <w:p w:rsidR="005850F5" w:rsidRDefault="005850F5" w:rsidP="005850F5">
      <w:pPr>
        <w:spacing w:before="120" w:after="120"/>
        <w:ind w:firstLine="720"/>
        <w:jc w:val="both"/>
      </w:pPr>
      <w:r>
        <w:rPr>
          <w:lang w:val="vi-VN"/>
        </w:rPr>
        <w:t>1.</w:t>
      </w:r>
      <w:r>
        <w:t xml:space="preserve"> Sở Nội vụ chủ trì, phối hợp các S</w:t>
      </w:r>
      <w:r w:rsidRPr="00F73D70">
        <w:t>ở</w:t>
      </w:r>
      <w:r>
        <w:t xml:space="preserve"> ng</w:t>
      </w:r>
      <w:r w:rsidRPr="00F73D70">
        <w:t>à</w:t>
      </w:r>
      <w:r>
        <w:t>nh ch</w:t>
      </w:r>
      <w:r w:rsidRPr="00F73D70">
        <w:t>ứ</w:t>
      </w:r>
      <w:r>
        <w:t>c n</w:t>
      </w:r>
      <w:r w:rsidRPr="00F73D70">
        <w:t>ă</w:t>
      </w:r>
      <w:r>
        <w:t>ng, Ủy ban nhân dân các huyện, thành phố:</w:t>
      </w:r>
    </w:p>
    <w:p w:rsidR="005850F5" w:rsidRDefault="005850F5" w:rsidP="005850F5">
      <w:pPr>
        <w:spacing w:before="120" w:after="120"/>
        <w:ind w:firstLine="720"/>
        <w:jc w:val="both"/>
      </w:pPr>
      <w:r>
        <w:t>- H</w:t>
      </w:r>
      <w:r w:rsidRPr="006273F6">
        <w:t>ướn</w:t>
      </w:r>
      <w:r>
        <w:t>g d</w:t>
      </w:r>
      <w:r w:rsidRPr="006273F6">
        <w:t>ẫ</w:t>
      </w:r>
      <w:r>
        <w:t xml:space="preserve">n Ban Trị sự GHPG Việt Nam tỉnh thực hiện các thủ tục tổ chức </w:t>
      </w:r>
      <w:r w:rsidRPr="00E87E98">
        <w:t>Đạ</w:t>
      </w:r>
      <w:r>
        <w:t>i h</w:t>
      </w:r>
      <w:r w:rsidRPr="00E87E98">
        <w:t>ộ</w:t>
      </w:r>
      <w:r>
        <w:t>i</w:t>
      </w:r>
      <w:r w:rsidR="00421167">
        <w:t xml:space="preserve"> </w:t>
      </w:r>
      <w:r>
        <w:t>v</w:t>
      </w:r>
      <w:r w:rsidRPr="00226D54">
        <w:t>à</w:t>
      </w:r>
      <w:r w:rsidR="00421167">
        <w:t xml:space="preserve"> </w:t>
      </w:r>
      <w:r w:rsidRPr="00226D54">
        <w:t>đă</w:t>
      </w:r>
      <w:r>
        <w:t>ng k</w:t>
      </w:r>
      <w:r w:rsidRPr="00226D54">
        <w:t>ý</w:t>
      </w:r>
      <w:r>
        <w:t xml:space="preserve"> ngư</w:t>
      </w:r>
      <w:r w:rsidRPr="00226D54">
        <w:t>ờ</w:t>
      </w:r>
      <w:r>
        <w:t>i đư</w:t>
      </w:r>
      <w:r w:rsidRPr="00226D54">
        <w:t>ợ</w:t>
      </w:r>
      <w:r>
        <w:t>c b</w:t>
      </w:r>
      <w:r w:rsidRPr="00226D54">
        <w:t>ổ</w:t>
      </w:r>
      <w:r>
        <w:t xml:space="preserve"> nhi</w:t>
      </w:r>
      <w:r w:rsidRPr="00226D54">
        <w:t>ệ</w:t>
      </w:r>
      <w:r>
        <w:t>m b</w:t>
      </w:r>
      <w:r w:rsidRPr="00226D54">
        <w:t>ầ</w:t>
      </w:r>
      <w:r>
        <w:t>u c</w:t>
      </w:r>
      <w:r w:rsidRPr="00226D54">
        <w:t>ử</w:t>
      </w:r>
      <w:r>
        <w:t>, suy c</w:t>
      </w:r>
      <w:r w:rsidRPr="00226D54">
        <w:t>ử</w:t>
      </w:r>
      <w:r>
        <w:t xml:space="preserve"> l</w:t>
      </w:r>
      <w:r w:rsidRPr="00226D54">
        <w:t>à</w:t>
      </w:r>
      <w:r>
        <w:t>m ch</w:t>
      </w:r>
      <w:r w:rsidRPr="00226D54">
        <w:t>ứ</w:t>
      </w:r>
      <w:r>
        <w:t>c vi</w:t>
      </w:r>
      <w:r w:rsidRPr="00226D54">
        <w:t>ệ</w:t>
      </w:r>
      <w:r>
        <w:t xml:space="preserve">c theo </w:t>
      </w:r>
      <w:r w:rsidRPr="006273F6">
        <w:t>đú</w:t>
      </w:r>
      <w:r>
        <w:t xml:space="preserve">ng quy </w:t>
      </w:r>
      <w:r w:rsidRPr="006273F6">
        <w:t>đị</w:t>
      </w:r>
      <w:r>
        <w:t>nh của Lu</w:t>
      </w:r>
      <w:r w:rsidRPr="00226D54">
        <w:t>ậ</w:t>
      </w:r>
      <w:r>
        <w:t>t t</w:t>
      </w:r>
      <w:r w:rsidRPr="00226D54">
        <w:t>í</w:t>
      </w:r>
      <w:r>
        <w:t>n ngư</w:t>
      </w:r>
      <w:r w:rsidRPr="00226D54">
        <w:t>ỡ</w:t>
      </w:r>
      <w:r>
        <w:t>ng, t</w:t>
      </w:r>
      <w:r w:rsidRPr="00226D54">
        <w:t>ô</w:t>
      </w:r>
      <w:r>
        <w:t>n gi</w:t>
      </w:r>
      <w:r w:rsidRPr="00226D54">
        <w:t>á</w:t>
      </w:r>
      <w:r>
        <w:t>o; đồng thời thực hiện nghiêm túc, đầy đủ các biện pháp phòng, chống  dịch Covid-19 trong thời tổ chức Đại hội theo quy định.</w:t>
      </w:r>
    </w:p>
    <w:p w:rsidR="005850F5" w:rsidRDefault="005850F5" w:rsidP="005850F5">
      <w:pPr>
        <w:spacing w:before="120" w:after="120"/>
        <w:ind w:firstLine="720"/>
        <w:jc w:val="both"/>
      </w:pPr>
      <w:r>
        <w:t>- Tr</w:t>
      </w:r>
      <w:r w:rsidRPr="00CB4D2C">
        <w:t>ê</w:t>
      </w:r>
      <w:r>
        <w:t>n c</w:t>
      </w:r>
      <w:r w:rsidRPr="00CB4D2C">
        <w:t>ơ</w:t>
      </w:r>
      <w:r>
        <w:t xml:space="preserve"> s</w:t>
      </w:r>
      <w:r w:rsidRPr="00CB4D2C">
        <w:t>ở</w:t>
      </w:r>
      <w:r>
        <w:t xml:space="preserve"> đ</w:t>
      </w:r>
      <w:r w:rsidRPr="002D0946">
        <w:t>ề</w:t>
      </w:r>
      <w:r>
        <w:t xml:space="preserve"> ngh</w:t>
      </w:r>
      <w:r w:rsidRPr="002D0946">
        <w:t>ị</w:t>
      </w:r>
      <w:r>
        <w:t xml:space="preserve"> c</w:t>
      </w:r>
      <w:r w:rsidRPr="002D0946">
        <w:t>ủa</w:t>
      </w:r>
      <w:r>
        <w:t xml:space="preserve"> Ban Tr</w:t>
      </w:r>
      <w:r w:rsidRPr="00CB4D2C">
        <w:t>ị</w:t>
      </w:r>
      <w:r>
        <w:t xml:space="preserve"> s</w:t>
      </w:r>
      <w:r w:rsidRPr="00CB4D2C">
        <w:t>ự</w:t>
      </w:r>
      <w:r>
        <w:t xml:space="preserve"> GHPG Vi</w:t>
      </w:r>
      <w:r w:rsidRPr="00CB4D2C">
        <w:t>ệ</w:t>
      </w:r>
      <w:r>
        <w:t>t Nam t</w:t>
      </w:r>
      <w:r w:rsidRPr="00CB4D2C">
        <w:t>ỉ</w:t>
      </w:r>
      <w:r>
        <w:t>nh, tham m</w:t>
      </w:r>
      <w:r w:rsidRPr="002D0946">
        <w:t>ư</w:t>
      </w:r>
      <w:r>
        <w:t>u Chủ tịch Ủy ban nhân dân tỉnh c</w:t>
      </w:r>
      <w:r w:rsidRPr="00362DE5">
        <w:t>ó</w:t>
      </w:r>
      <w:r>
        <w:t xml:space="preserve"> h</w:t>
      </w:r>
      <w:r w:rsidRPr="00362DE5">
        <w:t>ì</w:t>
      </w:r>
      <w:r>
        <w:t>nh th</w:t>
      </w:r>
      <w:r w:rsidRPr="00362DE5">
        <w:t>ứ</w:t>
      </w:r>
      <w:r>
        <w:t>c h</w:t>
      </w:r>
      <w:r w:rsidRPr="00362DE5">
        <w:t>ỗ</w:t>
      </w:r>
      <w:r>
        <w:t xml:space="preserve"> tr</w:t>
      </w:r>
      <w:r w:rsidRPr="00362DE5">
        <w:t>ợ</w:t>
      </w:r>
      <w:r>
        <w:t xml:space="preserve"> v</w:t>
      </w:r>
      <w:r w:rsidRPr="00362DE5">
        <w:t>à</w:t>
      </w:r>
      <w:r>
        <w:t xml:space="preserve"> khen th</w:t>
      </w:r>
      <w:r w:rsidRPr="00362DE5">
        <w:t>ưởn</w:t>
      </w:r>
      <w:r>
        <w:t>g kịp thời nh</w:t>
      </w:r>
      <w:r w:rsidRPr="00362DE5">
        <w:t>ằ</w:t>
      </w:r>
      <w:r>
        <w:t>m ghi nh</w:t>
      </w:r>
      <w:r w:rsidRPr="00362DE5">
        <w:t>ậ</w:t>
      </w:r>
      <w:r>
        <w:t>n, đ</w:t>
      </w:r>
      <w:r w:rsidRPr="00362DE5">
        <w:t>ộ</w:t>
      </w:r>
      <w:r>
        <w:t>ng vi</w:t>
      </w:r>
      <w:r w:rsidRPr="00362DE5">
        <w:t>ê</w:t>
      </w:r>
      <w:r>
        <w:t>n, bi</w:t>
      </w:r>
      <w:r w:rsidRPr="00362DE5">
        <w:t>ể</w:t>
      </w:r>
      <w:r>
        <w:t>u d</w:t>
      </w:r>
      <w:r w:rsidRPr="00362DE5">
        <w:t>ươ</w:t>
      </w:r>
      <w:r>
        <w:t>ng t</w:t>
      </w:r>
      <w:r w:rsidRPr="00362DE5">
        <w:t>ổ</w:t>
      </w:r>
      <w:r>
        <w:t xml:space="preserve"> ch</w:t>
      </w:r>
      <w:r w:rsidRPr="00362DE5">
        <w:t>ứ</w:t>
      </w:r>
      <w:r>
        <w:t>c Ph</w:t>
      </w:r>
      <w:r w:rsidRPr="00362DE5">
        <w:t>ậ</w:t>
      </w:r>
      <w:r>
        <w:t>t gi</w:t>
      </w:r>
      <w:r w:rsidRPr="00362DE5">
        <w:t>á</w:t>
      </w:r>
      <w:r>
        <w:t>o, c</w:t>
      </w:r>
      <w:r w:rsidRPr="00362DE5">
        <w:t>á</w:t>
      </w:r>
      <w:r>
        <w:t>c ch</w:t>
      </w:r>
      <w:r w:rsidRPr="00362DE5">
        <w:t>ứ</w:t>
      </w:r>
      <w:r>
        <w:t>c s</w:t>
      </w:r>
      <w:r w:rsidRPr="00362DE5">
        <w:t>ắ</w:t>
      </w:r>
      <w:r>
        <w:t>c, chức việc, tín đồ Phật tử ti</w:t>
      </w:r>
      <w:r w:rsidRPr="00362DE5">
        <w:t>ê</w:t>
      </w:r>
      <w:r>
        <w:t>u bi</w:t>
      </w:r>
      <w:r w:rsidRPr="00362DE5">
        <w:t>ể</w:t>
      </w:r>
      <w:r>
        <w:t>u c</w:t>
      </w:r>
      <w:r w:rsidRPr="00362DE5">
        <w:t>ó</w:t>
      </w:r>
      <w:r>
        <w:t xml:space="preserve"> nhi</w:t>
      </w:r>
      <w:r w:rsidRPr="00362DE5">
        <w:t>ề</w:t>
      </w:r>
      <w:r>
        <w:t xml:space="preserve">u </w:t>
      </w:r>
      <w:r w:rsidRPr="00362DE5">
        <w:t>đó</w:t>
      </w:r>
      <w:r>
        <w:t>ng g</w:t>
      </w:r>
      <w:r w:rsidRPr="00362DE5">
        <w:t>ó</w:t>
      </w:r>
      <w:r>
        <w:t xml:space="preserve">p cho </w:t>
      </w:r>
      <w:r w:rsidRPr="00362DE5">
        <w:t>đị</w:t>
      </w:r>
      <w:r>
        <w:t>a ph</w:t>
      </w:r>
      <w:r w:rsidRPr="00362DE5">
        <w:t>ươ</w:t>
      </w:r>
      <w:r>
        <w:t xml:space="preserve">ng. </w:t>
      </w:r>
    </w:p>
    <w:p w:rsidR="005850F5" w:rsidRDefault="005850F5" w:rsidP="005850F5">
      <w:pPr>
        <w:spacing w:before="120" w:after="120"/>
        <w:ind w:firstLine="720"/>
        <w:jc w:val="both"/>
      </w:pPr>
      <w:r>
        <w:t>2. S</w:t>
      </w:r>
      <w:r w:rsidRPr="000B4045">
        <w:t>ở</w:t>
      </w:r>
      <w:r>
        <w:t xml:space="preserve"> T</w:t>
      </w:r>
      <w:r w:rsidRPr="000B4045">
        <w:t>à</w:t>
      </w:r>
      <w:r>
        <w:t>i ch</w:t>
      </w:r>
      <w:r w:rsidRPr="000B4045">
        <w:t>í</w:t>
      </w:r>
      <w:r>
        <w:t>nh chủ trì, ph</w:t>
      </w:r>
      <w:r w:rsidRPr="000B4045">
        <w:t>ố</w:t>
      </w:r>
      <w:r>
        <w:t>i h</w:t>
      </w:r>
      <w:r w:rsidRPr="000B4045">
        <w:t>ợ</w:t>
      </w:r>
      <w:r>
        <w:t>p v</w:t>
      </w:r>
      <w:r w:rsidRPr="0040337C">
        <w:t>ớ</w:t>
      </w:r>
      <w:r>
        <w:t>i S</w:t>
      </w:r>
      <w:r w:rsidRPr="000B4045">
        <w:t>ở</w:t>
      </w:r>
      <w:r>
        <w:t xml:space="preserve"> N</w:t>
      </w:r>
      <w:r w:rsidRPr="000B4045">
        <w:t>ộ</w:t>
      </w:r>
      <w:r>
        <w:t>i v</w:t>
      </w:r>
      <w:r w:rsidRPr="000B4045">
        <w:t>ụ</w:t>
      </w:r>
      <w:r>
        <w:t>,</w:t>
      </w:r>
      <w:r w:rsidR="00421167">
        <w:t xml:space="preserve"> </w:t>
      </w:r>
      <w:r>
        <w:t>Ban Trị sự GHPG Vi</w:t>
      </w:r>
      <w:r w:rsidRPr="000B4045">
        <w:t>ệ</w:t>
      </w:r>
      <w:r>
        <w:t xml:space="preserve">t Nam </w:t>
      </w:r>
      <w:r w:rsidR="00E103E6">
        <w:t xml:space="preserve">căn cứ quy định của pháp luật và tình hình thực tế của tỉnh, </w:t>
      </w:r>
      <w:r>
        <w:t>tham m</w:t>
      </w:r>
      <w:r w:rsidRPr="000B4045">
        <w:t>ư</w:t>
      </w:r>
      <w:r>
        <w:t xml:space="preserve">u </w:t>
      </w:r>
      <w:r w:rsidR="00E103E6">
        <w:t xml:space="preserve">đề xuất </w:t>
      </w:r>
      <w:r>
        <w:t>h</w:t>
      </w:r>
      <w:r w:rsidRPr="000B4045">
        <w:t>ỗ</w:t>
      </w:r>
      <w:r>
        <w:t xml:space="preserve"> tr</w:t>
      </w:r>
      <w:r w:rsidRPr="000B4045">
        <w:t>ợ</w:t>
      </w:r>
      <w:r>
        <w:t xml:space="preserve"> kinh ph</w:t>
      </w:r>
      <w:r w:rsidRPr="000B4045">
        <w:t>í</w:t>
      </w:r>
      <w:r>
        <w:t xml:space="preserve"> đ</w:t>
      </w:r>
      <w:r w:rsidRPr="00A771D9">
        <w:t>ể</w:t>
      </w:r>
      <w:r>
        <w:t xml:space="preserve"> Ban Trị sự GHPG Vi</w:t>
      </w:r>
      <w:r w:rsidRPr="000B4045">
        <w:t>ệ</w:t>
      </w:r>
      <w:r>
        <w:t>t Nam t</w:t>
      </w:r>
      <w:r w:rsidRPr="000B4045">
        <w:t>ỉ</w:t>
      </w:r>
      <w:r>
        <w:t>nh t</w:t>
      </w:r>
      <w:r w:rsidRPr="000B4045">
        <w:t>ổ</w:t>
      </w:r>
      <w:r>
        <w:t xml:space="preserve"> ch</w:t>
      </w:r>
      <w:r w:rsidRPr="000B4045">
        <w:t>ứ</w:t>
      </w:r>
      <w:r>
        <w:t xml:space="preserve">c </w:t>
      </w:r>
      <w:r w:rsidRPr="000B4045">
        <w:t>Đạ</w:t>
      </w:r>
      <w:r>
        <w:t>i h</w:t>
      </w:r>
      <w:r w:rsidRPr="000B4045">
        <w:t>ộ</w:t>
      </w:r>
      <w:r>
        <w:t>i đảm bảo</w:t>
      </w:r>
      <w:r w:rsidR="00E103E6">
        <w:t xml:space="preserve"> chặt chẽ</w:t>
      </w:r>
      <w:r>
        <w:t xml:space="preserve">, hiệu quả, đúng </w:t>
      </w:r>
      <w:r w:rsidR="00E103E6">
        <w:t>quy định</w:t>
      </w:r>
      <w:r>
        <w:t xml:space="preserve">. </w:t>
      </w:r>
    </w:p>
    <w:p w:rsidR="005850F5" w:rsidRDefault="005850F5" w:rsidP="005850F5">
      <w:pPr>
        <w:spacing w:before="120" w:after="120"/>
        <w:ind w:firstLine="720"/>
        <w:jc w:val="both"/>
      </w:pPr>
      <w:r>
        <w:lastRenderedPageBreak/>
        <w:t>3</w:t>
      </w:r>
      <w:r w:rsidRPr="004C2E19">
        <w:t>. Sở Văn hóa, Thể thao và Du lịch hướng dẫn Ban Trị sự</w:t>
      </w:r>
      <w:r>
        <w:t xml:space="preserve"> GHPG</w:t>
      </w:r>
      <w:r w:rsidRPr="004C2E19">
        <w:t xml:space="preserve"> Việt Nam tỉ</w:t>
      </w:r>
      <w:r>
        <w:t>nh</w:t>
      </w:r>
      <w:r w:rsidRPr="004C2E19">
        <w:t xml:space="preserve"> việc trang trí băng rôn, khẩu hiệu, biểu ngữ</w:t>
      </w:r>
      <w:r>
        <w:t xml:space="preserve"> và treo cờ Tổ quốc, cờ Phật giáo nhân dịp t</w:t>
      </w:r>
      <w:r w:rsidRPr="002D0946">
        <w:t>ổ</w:t>
      </w:r>
      <w:r>
        <w:t xml:space="preserve"> ch</w:t>
      </w:r>
      <w:r w:rsidRPr="002D0946">
        <w:t>ứ</w:t>
      </w:r>
      <w:r>
        <w:t xml:space="preserve">c </w:t>
      </w:r>
      <w:r w:rsidRPr="002D0946">
        <w:t>Đạ</w:t>
      </w:r>
      <w:r>
        <w:t>i h</w:t>
      </w:r>
      <w:r w:rsidRPr="002D0946">
        <w:t>ộ</w:t>
      </w:r>
      <w:r>
        <w:t>i</w:t>
      </w:r>
      <w:r w:rsidR="00E103E6">
        <w:t xml:space="preserve"> theo quy định</w:t>
      </w:r>
      <w:r w:rsidRPr="004C2E19">
        <w:t>.</w:t>
      </w:r>
    </w:p>
    <w:p w:rsidR="005850F5" w:rsidRDefault="005850F5" w:rsidP="005850F5">
      <w:pPr>
        <w:spacing w:before="120" w:after="120"/>
        <w:ind w:firstLine="720"/>
        <w:jc w:val="both"/>
      </w:pPr>
      <w:r>
        <w:t>4. Sở Thông tin và Truyền thông chủ trì, phối hợp Đài Phát thanh và Truyền hình, Báo Ninh Thuận hỗ trợ Ban Trị sự GHPG Việt Nam tỉnh trong việc tuy</w:t>
      </w:r>
      <w:r w:rsidRPr="00B644B6">
        <w:t>ê</w:t>
      </w:r>
      <w:r>
        <w:t>n truy</w:t>
      </w:r>
      <w:r w:rsidRPr="00B644B6">
        <w:t>ề</w:t>
      </w:r>
      <w:r>
        <w:t xml:space="preserve">n về Đại hội theo quy định. </w:t>
      </w:r>
    </w:p>
    <w:p w:rsidR="005850F5" w:rsidRDefault="005850F5" w:rsidP="005850F5">
      <w:pPr>
        <w:spacing w:before="120" w:after="120"/>
        <w:ind w:firstLine="720"/>
        <w:jc w:val="both"/>
      </w:pPr>
      <w:r>
        <w:t>5.</w:t>
      </w:r>
      <w:r w:rsidRPr="004C2E19">
        <w:t xml:space="preserve"> Sở Y tế </w:t>
      </w:r>
      <w:r>
        <w:t xml:space="preserve">chỉ đạo đơn vị có liên quan </w:t>
      </w:r>
      <w:r w:rsidRPr="004C2E19">
        <w:t>hướng dẫn</w:t>
      </w:r>
      <w:r>
        <w:t xml:space="preserve">, hỗ trợ </w:t>
      </w:r>
      <w:r w:rsidRPr="007F091D">
        <w:t xml:space="preserve">Ban Trị sự </w:t>
      </w:r>
      <w:r>
        <w:t>GHPG</w:t>
      </w:r>
      <w:r w:rsidRPr="004C2E19">
        <w:t xml:space="preserve"> Việt Nam tỉnh thực hiện các biện pháp phòng, chống dịch Covid-19</w:t>
      </w:r>
      <w:r>
        <w:t xml:space="preserve"> trong thời gian tổ chức Đại hội</w:t>
      </w:r>
      <w:r w:rsidR="00E103E6">
        <w:t xml:space="preserve"> theo quy định</w:t>
      </w:r>
      <w:r>
        <w:t xml:space="preserve">. </w:t>
      </w:r>
    </w:p>
    <w:p w:rsidR="005850F5" w:rsidRDefault="005850F5" w:rsidP="005850F5">
      <w:pPr>
        <w:spacing w:before="120" w:after="120"/>
        <w:ind w:firstLine="720"/>
        <w:jc w:val="both"/>
      </w:pPr>
      <w:r>
        <w:t>6</w:t>
      </w:r>
      <w:r w:rsidRPr="00570019">
        <w:t xml:space="preserve">. </w:t>
      </w:r>
      <w:r>
        <w:t xml:space="preserve">Công an tỉnh chủ trì, phối hợp Ủy ban nhân dân thành phố Phan Rang-Tháp Chàm triển khai các biện pháp công tác </w:t>
      </w:r>
      <w:r w:rsidRPr="00570019">
        <w:rPr>
          <w:lang w:val="vi-VN"/>
        </w:rPr>
        <w:t xml:space="preserve">đảm bảo an ninh trật tự trong thời gian </w:t>
      </w:r>
      <w:r>
        <w:t xml:space="preserve">Ban Trị sự GHPG Việt Nam tỉnh </w:t>
      </w:r>
      <w:r w:rsidRPr="00570019">
        <w:rPr>
          <w:lang w:val="vi-VN"/>
        </w:rPr>
        <w:t>tổ chức</w:t>
      </w:r>
      <w:r w:rsidRPr="00570019">
        <w:t xml:space="preserve"> Đại hội</w:t>
      </w:r>
      <w:r>
        <w:t xml:space="preserve"> tại địa phương</w:t>
      </w:r>
      <w:r w:rsidRPr="00570019">
        <w:t>.</w:t>
      </w:r>
    </w:p>
    <w:p w:rsidR="005850F5" w:rsidRPr="00F14410" w:rsidRDefault="005850F5" w:rsidP="005850F5">
      <w:pPr>
        <w:widowControl w:val="0"/>
        <w:spacing w:before="240"/>
        <w:ind w:firstLine="709"/>
        <w:jc w:val="both"/>
        <w:rPr>
          <w:rFonts w:eastAsia="Calibri"/>
        </w:rPr>
      </w:pPr>
      <w:r>
        <w:t>Giao Sở Nội vụ t</w:t>
      </w:r>
      <w:r w:rsidRPr="00455823">
        <w:t>heo dõi</w:t>
      </w:r>
      <w:r>
        <w:t xml:space="preserve"> q</w:t>
      </w:r>
      <w:r w:rsidRPr="00455823">
        <w:t xml:space="preserve">uá trình thực hiện </w:t>
      </w:r>
      <w:r>
        <w:t>và</w:t>
      </w:r>
      <w:r w:rsidRPr="00455823">
        <w:t xml:space="preserve"> báo cáo </w:t>
      </w:r>
      <w:r>
        <w:t xml:space="preserve">Chủ tịch </w:t>
      </w:r>
      <w:r w:rsidRPr="00455823">
        <w:t>Ủy ban nhân dân tỉnh những vấn đề vướng mắc</w:t>
      </w:r>
      <w:r>
        <w:t>,</w:t>
      </w:r>
      <w:r w:rsidRPr="00455823">
        <w:t xml:space="preserve"> nảy sinh trong quá trình thực hiệ</w:t>
      </w:r>
      <w:r>
        <w:t>n để xem xét, chỉ đạo kịp thời.</w:t>
      </w:r>
      <w:r w:rsidRPr="00570019">
        <w:t>/.</w:t>
      </w:r>
    </w:p>
    <w:p w:rsidR="005850F5" w:rsidRDefault="005850F5" w:rsidP="005850F5">
      <w:pPr>
        <w:jc w:val="both"/>
        <w:rPr>
          <w:sz w:val="24"/>
          <w:szCs w:val="24"/>
        </w:rPr>
      </w:pPr>
    </w:p>
    <w:p w:rsidR="005850F5" w:rsidRDefault="005850F5" w:rsidP="005850F5">
      <w:pPr>
        <w:jc w:val="both"/>
        <w:rPr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308"/>
        <w:gridCol w:w="5520"/>
      </w:tblGrid>
      <w:tr w:rsidR="005850F5" w:rsidTr="009C4A5C">
        <w:tc>
          <w:tcPr>
            <w:tcW w:w="4308" w:type="dxa"/>
            <w:hideMark/>
          </w:tcPr>
          <w:p w:rsidR="005850F5" w:rsidRPr="0005470D" w:rsidRDefault="005850F5" w:rsidP="009C4A5C">
            <w:pPr>
              <w:rPr>
                <w:b/>
                <w:i/>
                <w:sz w:val="24"/>
                <w:szCs w:val="24"/>
              </w:rPr>
            </w:pPr>
            <w:r w:rsidRPr="0005470D">
              <w:rPr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5520" w:type="dxa"/>
            <w:hideMark/>
          </w:tcPr>
          <w:p w:rsidR="005850F5" w:rsidRDefault="005850F5" w:rsidP="00FF24C7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KT. </w:t>
            </w:r>
            <w:r>
              <w:rPr>
                <w:b/>
              </w:rPr>
              <w:t>CHỦ TỊCH</w:t>
            </w:r>
          </w:p>
        </w:tc>
      </w:tr>
      <w:tr w:rsidR="005850F5" w:rsidTr="009C4A5C">
        <w:tc>
          <w:tcPr>
            <w:tcW w:w="4308" w:type="dxa"/>
            <w:hideMark/>
          </w:tcPr>
          <w:p w:rsidR="005850F5" w:rsidRDefault="005850F5" w:rsidP="009C4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trên;</w:t>
            </w:r>
          </w:p>
          <w:p w:rsidR="005850F5" w:rsidRDefault="005850F5" w:rsidP="009C4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Tôn giáo Chính phủ (b/c);</w:t>
            </w:r>
          </w:p>
          <w:p w:rsidR="005850F5" w:rsidRDefault="005850F5" w:rsidP="009C4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Thường trực Tỉnh ủy (b/c);</w:t>
            </w:r>
          </w:p>
          <w:p w:rsidR="005850F5" w:rsidRDefault="005850F5" w:rsidP="009C4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CT</w:t>
            </w:r>
            <w:r>
              <w:rPr>
                <w:sz w:val="22"/>
                <w:szCs w:val="22"/>
                <w:lang w:val="vi-VN"/>
              </w:rPr>
              <w:t>,</w:t>
            </w:r>
            <w:r>
              <w:rPr>
                <w:sz w:val="22"/>
                <w:szCs w:val="22"/>
              </w:rPr>
              <w:t xml:space="preserve"> PCT UBND tỉnh Nguyễn Long Biên;</w:t>
            </w:r>
          </w:p>
          <w:p w:rsidR="005850F5" w:rsidRDefault="005850F5" w:rsidP="009C4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Ủy ban MTTQ Việt Nam tỉnh;</w:t>
            </w:r>
            <w:r>
              <w:rPr>
                <w:sz w:val="22"/>
                <w:szCs w:val="22"/>
              </w:rPr>
              <w:br/>
              <w:t>- Các Ban Dân vận tỉnh ủy;</w:t>
            </w:r>
            <w:r>
              <w:rPr>
                <w:sz w:val="22"/>
                <w:szCs w:val="22"/>
              </w:rPr>
              <w:br/>
              <w:t>- Đài PT&amp;TH, Báo Ninh Thuận;</w:t>
            </w:r>
          </w:p>
          <w:p w:rsidR="005850F5" w:rsidRDefault="005850F5" w:rsidP="009C4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 xml:space="preserve">- VPUB: </w:t>
            </w:r>
            <w:r>
              <w:rPr>
                <w:sz w:val="22"/>
                <w:szCs w:val="22"/>
              </w:rPr>
              <w:t>LĐ</w:t>
            </w:r>
            <w:r w:rsidR="00E103E6">
              <w:rPr>
                <w:sz w:val="22"/>
                <w:szCs w:val="22"/>
              </w:rPr>
              <w:t>, KTTH</w:t>
            </w:r>
            <w:bookmarkStart w:id="0" w:name="_GoBack"/>
            <w:bookmarkEnd w:id="0"/>
            <w:r>
              <w:rPr>
                <w:sz w:val="22"/>
                <w:szCs w:val="22"/>
              </w:rPr>
              <w:t>;</w:t>
            </w:r>
          </w:p>
          <w:p w:rsidR="005850F5" w:rsidRDefault="005850F5" w:rsidP="009C4A5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Lưu: VT</w:t>
            </w:r>
            <w:r>
              <w:rPr>
                <w:sz w:val="22"/>
                <w:szCs w:val="22"/>
                <w:lang w:val="vi-VN"/>
              </w:rPr>
              <w:t>,</w:t>
            </w:r>
            <w:r w:rsidRPr="00A77017">
              <w:rPr>
                <w:sz w:val="22"/>
                <w:szCs w:val="22"/>
              </w:rPr>
              <w:t>VXNV.</w:t>
            </w:r>
            <w:r w:rsidR="00FF24C7">
              <w:rPr>
                <w:sz w:val="22"/>
                <w:szCs w:val="22"/>
              </w:rPr>
              <w:t xml:space="preserve"> NY</w:t>
            </w:r>
          </w:p>
        </w:tc>
        <w:tc>
          <w:tcPr>
            <w:tcW w:w="5520" w:type="dxa"/>
          </w:tcPr>
          <w:p w:rsidR="005850F5" w:rsidRDefault="005850F5" w:rsidP="00FF24C7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PHÓ CHỦ TỊCH</w:t>
            </w:r>
          </w:p>
          <w:p w:rsidR="005850F5" w:rsidRPr="009C0722" w:rsidRDefault="005850F5" w:rsidP="00FF24C7">
            <w:pPr>
              <w:jc w:val="center"/>
              <w:rPr>
                <w:b/>
                <w:lang w:val="vi-VN"/>
              </w:rPr>
            </w:pPr>
          </w:p>
        </w:tc>
      </w:tr>
      <w:tr w:rsidR="005850F5" w:rsidTr="009C4A5C">
        <w:tc>
          <w:tcPr>
            <w:tcW w:w="4308" w:type="dxa"/>
          </w:tcPr>
          <w:p w:rsidR="005850F5" w:rsidRDefault="005850F5" w:rsidP="009C4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hideMark/>
          </w:tcPr>
          <w:p w:rsidR="005850F5" w:rsidRPr="00A72735" w:rsidRDefault="005850F5" w:rsidP="00FF24C7">
            <w:pPr>
              <w:jc w:val="center"/>
              <w:rPr>
                <w:b/>
              </w:rPr>
            </w:pPr>
            <w:r>
              <w:rPr>
                <w:b/>
              </w:rPr>
              <w:t>Nguyễn Long Biên</w:t>
            </w:r>
          </w:p>
        </w:tc>
      </w:tr>
    </w:tbl>
    <w:p w:rsidR="005850F5" w:rsidRDefault="005850F5" w:rsidP="005850F5"/>
    <w:p w:rsidR="005850F5" w:rsidRDefault="005850F5" w:rsidP="005850F5"/>
    <w:p w:rsidR="005850F5" w:rsidRDefault="005850F5" w:rsidP="005850F5"/>
    <w:p w:rsidR="005850F5" w:rsidRDefault="005850F5" w:rsidP="005850F5"/>
    <w:p w:rsidR="005850F5" w:rsidRPr="00A72735" w:rsidRDefault="005850F5" w:rsidP="005850F5"/>
    <w:p w:rsidR="005850F5" w:rsidRPr="00206B5D" w:rsidRDefault="005850F5" w:rsidP="005850F5"/>
    <w:p w:rsidR="005850F5" w:rsidRPr="00C9191D" w:rsidRDefault="005850F5" w:rsidP="005850F5"/>
    <w:p w:rsidR="00CA1EDC" w:rsidRPr="005850F5" w:rsidRDefault="00CA1EDC" w:rsidP="005850F5"/>
    <w:sectPr w:rsidR="00CA1EDC" w:rsidRPr="005850F5" w:rsidSect="00D64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5C" w:rsidRDefault="00FF3D5C" w:rsidP="00445510">
      <w:r>
        <w:separator/>
      </w:r>
    </w:p>
  </w:endnote>
  <w:endnote w:type="continuationSeparator" w:id="0">
    <w:p w:rsidR="00FF3D5C" w:rsidRDefault="00FF3D5C" w:rsidP="0044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10" w:rsidRDefault="00445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10" w:rsidRDefault="004455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10" w:rsidRDefault="00445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5C" w:rsidRDefault="00FF3D5C" w:rsidP="00445510">
      <w:r>
        <w:separator/>
      </w:r>
    </w:p>
  </w:footnote>
  <w:footnote w:type="continuationSeparator" w:id="0">
    <w:p w:rsidR="00FF3D5C" w:rsidRDefault="00FF3D5C" w:rsidP="0044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10" w:rsidRDefault="00445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694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191D" w:rsidRDefault="00D92F99">
        <w:pPr>
          <w:pStyle w:val="Header"/>
          <w:jc w:val="center"/>
        </w:pPr>
        <w:r>
          <w:fldChar w:fldCharType="begin"/>
        </w:r>
        <w:r w:rsidR="00C9191D">
          <w:instrText xml:space="preserve"> PAGE   \* MERGEFORMAT </w:instrText>
        </w:r>
        <w:r>
          <w:fldChar w:fldCharType="separate"/>
        </w:r>
        <w:r w:rsidR="00E10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510" w:rsidRDefault="00445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10" w:rsidRDefault="00445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29E"/>
    <w:rsid w:val="00002C02"/>
    <w:rsid w:val="00034F3D"/>
    <w:rsid w:val="000B4045"/>
    <w:rsid w:val="000B737D"/>
    <w:rsid w:val="000C04DE"/>
    <w:rsid w:val="000D7029"/>
    <w:rsid w:val="00136657"/>
    <w:rsid w:val="00226D54"/>
    <w:rsid w:val="002A1F0C"/>
    <w:rsid w:val="002A5FC0"/>
    <w:rsid w:val="002D0946"/>
    <w:rsid w:val="002E1EA2"/>
    <w:rsid w:val="002E6C16"/>
    <w:rsid w:val="00337C2D"/>
    <w:rsid w:val="00355AA7"/>
    <w:rsid w:val="003602F9"/>
    <w:rsid w:val="00362C5D"/>
    <w:rsid w:val="00370A78"/>
    <w:rsid w:val="00376FC5"/>
    <w:rsid w:val="003B2C68"/>
    <w:rsid w:val="003C233D"/>
    <w:rsid w:val="003E3AB6"/>
    <w:rsid w:val="0040337C"/>
    <w:rsid w:val="00410336"/>
    <w:rsid w:val="0041141A"/>
    <w:rsid w:val="00421167"/>
    <w:rsid w:val="00445510"/>
    <w:rsid w:val="00487423"/>
    <w:rsid w:val="004936FD"/>
    <w:rsid w:val="004A1C14"/>
    <w:rsid w:val="004B0501"/>
    <w:rsid w:val="004C2E19"/>
    <w:rsid w:val="004D434A"/>
    <w:rsid w:val="004E2796"/>
    <w:rsid w:val="00530264"/>
    <w:rsid w:val="005350C7"/>
    <w:rsid w:val="00570019"/>
    <w:rsid w:val="005850F5"/>
    <w:rsid w:val="005F6661"/>
    <w:rsid w:val="006273F6"/>
    <w:rsid w:val="0068420A"/>
    <w:rsid w:val="006F7E6B"/>
    <w:rsid w:val="0070429E"/>
    <w:rsid w:val="007B6EE5"/>
    <w:rsid w:val="007F091D"/>
    <w:rsid w:val="00857CF1"/>
    <w:rsid w:val="008A1B79"/>
    <w:rsid w:val="008D291F"/>
    <w:rsid w:val="008F187F"/>
    <w:rsid w:val="00901F2B"/>
    <w:rsid w:val="00934AE4"/>
    <w:rsid w:val="00951AE4"/>
    <w:rsid w:val="009C22D4"/>
    <w:rsid w:val="009C2AE6"/>
    <w:rsid w:val="009C77EC"/>
    <w:rsid w:val="009D0AAC"/>
    <w:rsid w:val="009E7F09"/>
    <w:rsid w:val="009F182C"/>
    <w:rsid w:val="00A771D9"/>
    <w:rsid w:val="00A97E34"/>
    <w:rsid w:val="00AC75E6"/>
    <w:rsid w:val="00B016AE"/>
    <w:rsid w:val="00B05552"/>
    <w:rsid w:val="00B644B6"/>
    <w:rsid w:val="00C12AD8"/>
    <w:rsid w:val="00C23327"/>
    <w:rsid w:val="00C2424C"/>
    <w:rsid w:val="00C50978"/>
    <w:rsid w:val="00C84394"/>
    <w:rsid w:val="00C9191D"/>
    <w:rsid w:val="00C965C8"/>
    <w:rsid w:val="00CA1EDC"/>
    <w:rsid w:val="00D64230"/>
    <w:rsid w:val="00D75AE9"/>
    <w:rsid w:val="00D92F99"/>
    <w:rsid w:val="00DD6896"/>
    <w:rsid w:val="00E103E6"/>
    <w:rsid w:val="00E17731"/>
    <w:rsid w:val="00E25686"/>
    <w:rsid w:val="00E26E8D"/>
    <w:rsid w:val="00E87E98"/>
    <w:rsid w:val="00F14410"/>
    <w:rsid w:val="00F73D70"/>
    <w:rsid w:val="00FF24C7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9E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F24C7"/>
    <w:pPr>
      <w:keepNext/>
      <w:autoSpaceDE w:val="0"/>
      <w:autoSpaceDN w:val="0"/>
      <w:jc w:val="center"/>
      <w:outlineLvl w:val="0"/>
    </w:pPr>
    <w:rPr>
      <w:rFonts w:ascii=".VnTimeH" w:hAnsi=".VnTimeH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FF24C7"/>
    <w:pPr>
      <w:keepNext/>
      <w:autoSpaceDE w:val="0"/>
      <w:autoSpaceDN w:val="0"/>
      <w:jc w:val="center"/>
      <w:outlineLvl w:val="1"/>
    </w:pPr>
    <w:rPr>
      <w:rFonts w:ascii=".VnTime" w:hAnsi=".VnTime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10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5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10"/>
    <w:rPr>
      <w:rFonts w:eastAsia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F24C7"/>
    <w:rPr>
      <w:rFonts w:ascii=".VnTimeH" w:eastAsia="Times New Roman" w:hAnsi=".VnTimeH" w:cs="Times New Roman"/>
      <w:b/>
      <w:bCs/>
      <w:color w:val="0000FF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FF24C7"/>
    <w:rPr>
      <w:rFonts w:ascii=".VnTime" w:eastAsia="Times New Roman" w:hAnsi=".VnTime" w:cs="Times New Roman"/>
      <w:i/>
      <w:iCs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9E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10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45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10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F427-4B57-4F54-886E-DDA417B4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2022-03-03T03:57:00Z</dcterms:created>
  <dc:creator>WIN7</dc:creator>
  <cp:lastModifiedBy>ADMIN</cp:lastModifiedBy>
  <dcterms:modified xsi:type="dcterms:W3CDTF">2022-03-03T15:22:00Z</dcterms:modified>
  <cp:revision>3</cp:revision>
  <dc:title>Phòng Văn xã - Ngoại vụ - UBND Tỉnh Ninh Thuận</dc:title>
</cp:coreProperties>
</file>