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3" w:type="dxa"/>
        <w:jc w:val="center"/>
        <w:tblInd w:w="795" w:type="dxa"/>
        <w:tblLayout w:type="fixed"/>
        <w:tblLook w:val="01E0" w:firstRow="1" w:lastRow="1" w:firstColumn="1" w:lastColumn="1" w:noHBand="0" w:noVBand="0"/>
      </w:tblPr>
      <w:tblGrid>
        <w:gridCol w:w="2961"/>
        <w:gridCol w:w="238"/>
        <w:gridCol w:w="5974"/>
      </w:tblGrid>
      <w:tr w:rsidR="00DF123F" w:rsidRPr="00DF123F" w:rsidTr="0090414B">
        <w:trPr>
          <w:jc w:val="center"/>
        </w:trPr>
        <w:tc>
          <w:tcPr>
            <w:tcW w:w="2961" w:type="dxa"/>
          </w:tcPr>
          <w:p w:rsidR="00A66C01" w:rsidRPr="0090414B" w:rsidRDefault="00A66C01" w:rsidP="005A1A0E">
            <w:pPr>
              <w:widowControl w:val="0"/>
              <w:ind w:left="-144" w:right="-144"/>
              <w:jc w:val="center"/>
              <w:rPr>
                <w:b/>
                <w:lang w:val="it-IT"/>
              </w:rPr>
            </w:pPr>
            <w:r w:rsidRPr="0090414B">
              <w:rPr>
                <w:b/>
                <w:lang w:val="it-IT"/>
              </w:rPr>
              <w:t xml:space="preserve">ỦY BAN NHÂN DÂN </w:t>
            </w:r>
          </w:p>
          <w:p w:rsidR="00A66C01" w:rsidRPr="0090414B" w:rsidRDefault="00A66C01" w:rsidP="005A1A0E">
            <w:pPr>
              <w:widowControl w:val="0"/>
              <w:ind w:left="-144" w:right="-144"/>
              <w:jc w:val="center"/>
              <w:rPr>
                <w:b/>
                <w:lang w:val="it-IT"/>
              </w:rPr>
            </w:pPr>
            <w:r w:rsidRPr="0090414B">
              <w:rPr>
                <w:b/>
                <w:lang w:val="it-IT"/>
              </w:rPr>
              <w:t>TỈNH NINH THUẬN</w:t>
            </w:r>
          </w:p>
          <w:p w:rsidR="00A66C01" w:rsidRPr="00DF123F" w:rsidRDefault="000D5135" w:rsidP="005A1A0E">
            <w:pPr>
              <w:widowControl w:val="0"/>
              <w:spacing w:line="140" w:lineRule="exact"/>
              <w:ind w:left="-57" w:right="-57"/>
              <w:jc w:val="center"/>
              <w:rPr>
                <w:b/>
                <w:sz w:val="26"/>
                <w:szCs w:val="26"/>
              </w:rPr>
            </w:pPr>
            <w:r w:rsidRPr="00DF123F">
              <w:rPr>
                <w:b/>
                <w:noProof/>
                <w:sz w:val="26"/>
                <w:szCs w:val="26"/>
              </w:rPr>
              <mc:AlternateContent>
                <mc:Choice Requires="wps">
                  <w:drawing>
                    <wp:anchor distT="0" distB="0" distL="114300" distR="114300" simplePos="0" relativeHeight="251656704" behindDoc="0" locked="0" layoutInCell="1" allowOverlap="1" wp14:anchorId="6E0C7F31" wp14:editId="70787694">
                      <wp:simplePos x="0" y="0"/>
                      <wp:positionH relativeFrom="column">
                        <wp:posOffset>474345</wp:posOffset>
                      </wp:positionH>
                      <wp:positionV relativeFrom="paragraph">
                        <wp:posOffset>34925</wp:posOffset>
                      </wp:positionV>
                      <wp:extent cx="800100" cy="0"/>
                      <wp:effectExtent l="7620" t="6350" r="1143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35pt;margin-top:2.75pt;width:6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zcK5HQIAADo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WIkfMFKk B4me9l7HymgSxjMYV0BUpbY2NEiP6tU8a/rdIaWrjqiWx+C3k4HcLGQk71LCxRkoshu+aAYxBPDj rI6N7QMkTAEdoySnmyT86BGFj/MUxgLC0asrIcU1z1jnP3Pdo2CU2HlLRNv5SisFumubxSrk8Ox8 YEWKa0IoqvRGSBnllwoNJV5MJ9OY4LQULDhDmLPtrpIWHUhYoPiLLYLnPszqvWIRrOOErS+2J0Ke bSguVcCDvoDOxTpvyI9FuljP1/N8lE9m61Ge1vXoaVPlo9km+zStH+qqqrOfgVqWF51gjKvA7rqt Wf5323B5N+c9u+3rbQzJe/Q4LyB7/Y+ko7BBy/NW7DQ7be1VcFjQGHx5TOEF3N/Bvn/yq18AAAD/ /wMAUEsDBBQABgAIAAAAIQDIjhZV2QAAAAYBAAAPAAAAZHJzL2Rvd25yZXYueG1sTI7BTsMwEETv SPyDtUhcEHVaEUpDNlWFxIEjbSWubrxNAvE6ip0m9OtZuNDj04xmXr6eXKtO1IfGM8J8loAiLr1t uELY717vn0CFaNia1jMhfFOAdXF9lZvM+pHf6bSNlZIRDplBqGPsMq1DWZMzYeY7YsmOvncmCvaV tr0ZZdy1epEkj9qZhuWhNh291FR+bQeHQGFI58lm5ar923m8+1icP8duh3h7M22eQUWa4n8ZfvVF HQpxOviBbVAtwvJhKU2ENAUlsZwJH/5YF7m+1C9+AAAA//8DAFBLAQItABQABgAIAAAAIQC2gziS /gAAAOEBAAATAAAAAAAAAAAAAAAAAAAAAABbQ29udGVudF9UeXBlc10ueG1sUEsBAi0AFAAGAAgA AAAhADj9If/WAAAAlAEAAAsAAAAAAAAAAAAAAAAALwEAAF9yZWxzLy5yZWxzUEsBAi0AFAAGAAgA AAAhALzNwrkdAgAAOgQAAA4AAAAAAAAAAAAAAAAALgIAAGRycy9lMm9Eb2MueG1sUEsBAi0AFAAG AAgAAAAhAMiOFlXZAAAABgEAAA8AAAAAAAAAAAAAAAAAdwQAAGRycy9kb3ducmV2LnhtbFBLBQYA AAAABAAEAPMAAAB9BQAAAAA= "/>
                  </w:pict>
                </mc:Fallback>
              </mc:AlternateContent>
            </w:r>
          </w:p>
        </w:tc>
        <w:tc>
          <w:tcPr>
            <w:tcW w:w="238" w:type="dxa"/>
          </w:tcPr>
          <w:p w:rsidR="00A66C01" w:rsidRPr="00DF123F" w:rsidRDefault="00A66C01" w:rsidP="005A1A0E">
            <w:pPr>
              <w:widowControl w:val="0"/>
              <w:jc w:val="center"/>
              <w:rPr>
                <w:b/>
                <w:sz w:val="26"/>
                <w:szCs w:val="26"/>
              </w:rPr>
            </w:pPr>
          </w:p>
        </w:tc>
        <w:tc>
          <w:tcPr>
            <w:tcW w:w="5974" w:type="dxa"/>
          </w:tcPr>
          <w:p w:rsidR="00A66C01" w:rsidRPr="0090414B" w:rsidRDefault="00A66C01" w:rsidP="005A1A0E">
            <w:pPr>
              <w:widowControl w:val="0"/>
              <w:ind w:left="-113" w:right="-113"/>
              <w:jc w:val="center"/>
              <w:rPr>
                <w:b/>
              </w:rPr>
            </w:pPr>
            <w:r w:rsidRPr="0090414B">
              <w:rPr>
                <w:b/>
              </w:rPr>
              <w:t>CỘNG HOÀ XÃ HỘI CHỦ NGHĨA VIỆT NAM</w:t>
            </w:r>
          </w:p>
          <w:p w:rsidR="00A66C01" w:rsidRPr="0090414B" w:rsidRDefault="00A66C01" w:rsidP="005A1A0E">
            <w:pPr>
              <w:widowControl w:val="0"/>
              <w:ind w:left="-113" w:right="-113"/>
              <w:jc w:val="center"/>
              <w:rPr>
                <w:b/>
              </w:rPr>
            </w:pPr>
            <w:r w:rsidRPr="0090414B">
              <w:rPr>
                <w:b/>
              </w:rPr>
              <w:t>Độc lập - Tự do - Hạnh phúc</w:t>
            </w:r>
          </w:p>
          <w:p w:rsidR="00A66C01" w:rsidRPr="00DF123F" w:rsidRDefault="0090414B" w:rsidP="005A1A0E">
            <w:pPr>
              <w:widowControl w:val="0"/>
              <w:spacing w:line="140" w:lineRule="exact"/>
              <w:jc w:val="center"/>
              <w:rPr>
                <w:b/>
                <w:sz w:val="26"/>
                <w:szCs w:val="26"/>
              </w:rPr>
            </w:pPr>
            <w:r>
              <w:rPr>
                <w:b/>
                <w:noProof/>
                <w:sz w:val="26"/>
                <w:szCs w:val="26"/>
              </w:rPr>
              <mc:AlternateContent>
                <mc:Choice Requires="wps">
                  <w:drawing>
                    <wp:anchor distT="0" distB="0" distL="114300" distR="114300" simplePos="0" relativeHeight="251662848" behindDoc="0" locked="0" layoutInCell="1" allowOverlap="1" wp14:anchorId="586A0EAA" wp14:editId="77C1762F">
                      <wp:simplePos x="0" y="0"/>
                      <wp:positionH relativeFrom="column">
                        <wp:posOffset>756615</wp:posOffset>
                      </wp:positionH>
                      <wp:positionV relativeFrom="paragraph">
                        <wp:posOffset>33655</wp:posOffset>
                      </wp:positionV>
                      <wp:extent cx="2106778"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106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9.6pt,2.65pt" to="225.5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PqdutAEAALcDAAAOAAAAZHJzL2Uyb0RvYy54bWysU8GO0zAQvSPxD5bvNGkPuyhquoeu4IKg YuEDvM64sdb2WGPTpn/P2G2ziEUIob04Hvu9mXnPk/Xd5J04ACWLoZfLRSsFBI2DDftefv/24d17 KVJWYVAOA/TyBEnebd6+WR9jBysc0Q1AgpOE1B1jL8ecY9c0SY/gVVpghMCXBsmrzCHtm4HUkbN7 16za9qY5Ig2RUENKfHp/vpSbmt8Y0PmLMQmycL3k3nJdqa6PZW02a9XtScXR6ksb6j+68MoGLjqn uldZiR9kX6TyVhMmNHmh0TdojNVQNbCaZfubmodRRaha2JwUZ5vS66XVnw87Enbgt5MiKM9P9JBJ 2f2YxRZDYAORxLL4dIypY/g27OgSpbijInoy5MuX5YipenuavYUpC82Hq2V7c3vL06Cvd80zMVLK HwG9KJteOhuKbNWpw6eUuRhDrxAOSiPn0nWXTw4K2IWvYFgKF1tWdh0i2DoSB8XPPzxVGZyrIgvF WOdmUvt30gVbaFAH61+JM7pWxJBnorcB6U9V83Rt1ZzxV9VnrUX2Iw6n+hDVDp6O6tJlksv4/RpX +vP/tvkJAAD//wMAUEsDBBQABgAIAAAAIQDH7gbt3AAAAAcBAAAPAAAAZHJzL2Rvd25yZXYueG1s TI8xT8MwEIV3pP4H6yqxUSeF0hLiVFWBiQ4hMDC68ZFEjc9R7CaBX8/BAuOn9/Tuu3Q72VYM2PvG kYJ4EYFAKp1pqFLw9vp0tQHhgyajW0eo4BM9bLPZRaoT40Z6waEIleAR8olWUIfQJVL6skar/cJ1 SJx9uN7qwNhX0vR65HHbymUU3UqrG+ILte5wX2N5Ks5Wwfrxuci78eHwlcu1zPPBhc3pXanL+bS7 BxFwCn9l+NFndcjY6ejOZLxomeO7JVcVrK5BcH6zivm34y/LLJX//bNvAAAA//8DAFBLAQItABQA BgAIAAAAIQC2gziS/gAAAOEBAAATAAAAAAAAAAAAAAAAAAAAAABbQ29udGVudF9UeXBlc10ueG1s UEsBAi0AFAAGAAgAAAAhADj9If/WAAAAlAEAAAsAAAAAAAAAAAAAAAAALwEAAF9yZWxzLy5yZWxz UEsBAi0AFAAGAAgAAAAhAPI+p260AQAAtwMAAA4AAAAAAAAAAAAAAAAALgIAAGRycy9lMm9Eb2Mu eG1sUEsBAi0AFAAGAAgAAAAhAMfuBu3cAAAABwEAAA8AAAAAAAAAAAAAAAAADgQAAGRycy9kb3du cmV2LnhtbFBLBQYAAAAABAAEAPMAAAAXBQAAAAA= " strokecolor="black [3040]"/>
                  </w:pict>
                </mc:Fallback>
              </mc:AlternateContent>
            </w:r>
          </w:p>
        </w:tc>
      </w:tr>
      <w:tr w:rsidR="00DF123F" w:rsidRPr="00DF123F" w:rsidTr="0090414B">
        <w:trPr>
          <w:jc w:val="center"/>
        </w:trPr>
        <w:tc>
          <w:tcPr>
            <w:tcW w:w="2961" w:type="dxa"/>
          </w:tcPr>
          <w:p w:rsidR="00A66C01" w:rsidRPr="00DF123F" w:rsidRDefault="00A66C01" w:rsidP="003D0A05">
            <w:pPr>
              <w:widowControl w:val="0"/>
              <w:spacing w:before="240"/>
              <w:ind w:left="-58" w:right="-58"/>
              <w:jc w:val="center"/>
              <w:rPr>
                <w:sz w:val="26"/>
                <w:szCs w:val="26"/>
              </w:rPr>
            </w:pPr>
            <w:r w:rsidRPr="00DF123F">
              <w:rPr>
                <w:sz w:val="26"/>
                <w:szCs w:val="26"/>
              </w:rPr>
              <w:t xml:space="preserve">Số: </w:t>
            </w:r>
            <w:r w:rsidR="00CF2253" w:rsidRPr="00DF123F">
              <w:rPr>
                <w:sz w:val="26"/>
                <w:szCs w:val="26"/>
              </w:rPr>
              <w:t xml:space="preserve">    </w:t>
            </w:r>
            <w:r w:rsidR="004A684F" w:rsidRPr="00DF123F">
              <w:rPr>
                <w:sz w:val="26"/>
                <w:szCs w:val="26"/>
              </w:rPr>
              <w:t xml:space="preserve">   </w:t>
            </w:r>
            <w:r w:rsidR="00C260FA" w:rsidRPr="00DF123F">
              <w:rPr>
                <w:sz w:val="26"/>
                <w:szCs w:val="26"/>
              </w:rPr>
              <w:t xml:space="preserve">  </w:t>
            </w:r>
            <w:r w:rsidR="00CF2253" w:rsidRPr="00DF123F">
              <w:rPr>
                <w:sz w:val="26"/>
                <w:szCs w:val="26"/>
              </w:rPr>
              <w:t>/</w:t>
            </w:r>
            <w:r w:rsidR="003D0A05" w:rsidRPr="00DF123F">
              <w:rPr>
                <w:sz w:val="26"/>
                <w:szCs w:val="26"/>
              </w:rPr>
              <w:t>2022/</w:t>
            </w:r>
            <w:r w:rsidRPr="00DF123F">
              <w:rPr>
                <w:sz w:val="26"/>
                <w:szCs w:val="26"/>
              </w:rPr>
              <w:t>QĐ-UBND</w:t>
            </w:r>
          </w:p>
        </w:tc>
        <w:tc>
          <w:tcPr>
            <w:tcW w:w="238" w:type="dxa"/>
          </w:tcPr>
          <w:p w:rsidR="00A66C01" w:rsidRPr="00DF123F" w:rsidRDefault="00A66C01" w:rsidP="005A1A0E">
            <w:pPr>
              <w:widowControl w:val="0"/>
              <w:spacing w:before="240"/>
              <w:jc w:val="center"/>
              <w:rPr>
                <w:b/>
                <w:sz w:val="26"/>
                <w:szCs w:val="26"/>
              </w:rPr>
            </w:pPr>
          </w:p>
        </w:tc>
        <w:tc>
          <w:tcPr>
            <w:tcW w:w="5974" w:type="dxa"/>
          </w:tcPr>
          <w:p w:rsidR="00A66C01" w:rsidRPr="00DF123F" w:rsidRDefault="00A66C01" w:rsidP="0090414B">
            <w:pPr>
              <w:widowControl w:val="0"/>
              <w:spacing w:before="240"/>
              <w:ind w:left="-113" w:right="-113"/>
              <w:jc w:val="center"/>
              <w:rPr>
                <w:i/>
                <w:sz w:val="26"/>
                <w:szCs w:val="26"/>
                <w:lang w:val="vi-VN"/>
              </w:rPr>
            </w:pPr>
            <w:r w:rsidRPr="00DF123F">
              <w:rPr>
                <w:i/>
                <w:sz w:val="26"/>
                <w:szCs w:val="26"/>
              </w:rPr>
              <w:t xml:space="preserve">Ninh Thuận, ngày </w:t>
            </w:r>
            <w:r w:rsidR="0090414B">
              <w:rPr>
                <w:i/>
                <w:sz w:val="26"/>
                <w:szCs w:val="26"/>
              </w:rPr>
              <w:t xml:space="preserve">  </w:t>
            </w:r>
            <w:r w:rsidRPr="00DF123F">
              <w:rPr>
                <w:i/>
                <w:sz w:val="26"/>
                <w:szCs w:val="26"/>
              </w:rPr>
              <w:t xml:space="preserve">  </w:t>
            </w:r>
            <w:r w:rsidR="00C432E5" w:rsidRPr="00DF123F">
              <w:rPr>
                <w:i/>
                <w:sz w:val="26"/>
                <w:szCs w:val="26"/>
              </w:rPr>
              <w:t xml:space="preserve"> tháng </w:t>
            </w:r>
            <w:r w:rsidR="008E00E0" w:rsidRPr="00DF123F">
              <w:rPr>
                <w:i/>
                <w:sz w:val="26"/>
                <w:szCs w:val="26"/>
              </w:rPr>
              <w:t xml:space="preserve"> </w:t>
            </w:r>
            <w:r w:rsidR="0090414B">
              <w:rPr>
                <w:i/>
                <w:sz w:val="26"/>
                <w:szCs w:val="26"/>
              </w:rPr>
              <w:t xml:space="preserve"> </w:t>
            </w:r>
            <w:r w:rsidRPr="00DF123F">
              <w:rPr>
                <w:i/>
                <w:sz w:val="26"/>
                <w:szCs w:val="26"/>
              </w:rPr>
              <w:t xml:space="preserve"> năm 20</w:t>
            </w:r>
            <w:r w:rsidR="00CF2253" w:rsidRPr="00DF123F">
              <w:rPr>
                <w:i/>
                <w:sz w:val="26"/>
                <w:szCs w:val="26"/>
                <w:lang w:val="vi-VN"/>
              </w:rPr>
              <w:t>22</w:t>
            </w:r>
          </w:p>
        </w:tc>
      </w:tr>
    </w:tbl>
    <w:p w:rsidR="00A66C01" w:rsidRPr="00DF123F" w:rsidRDefault="00A66C01" w:rsidP="005A1A0E">
      <w:pPr>
        <w:widowControl w:val="0"/>
        <w:jc w:val="center"/>
        <w:rPr>
          <w:sz w:val="2"/>
        </w:rPr>
      </w:pPr>
    </w:p>
    <w:p w:rsidR="0058215C" w:rsidRPr="00DF123F" w:rsidRDefault="0058215C" w:rsidP="000E5991">
      <w:pPr>
        <w:widowControl w:val="0"/>
        <w:tabs>
          <w:tab w:val="left" w:pos="1824"/>
        </w:tabs>
        <w:spacing w:before="40"/>
        <w:ind w:left="57" w:right="57"/>
      </w:pPr>
      <w:r w:rsidRPr="00DF123F">
        <w:rPr>
          <w:b/>
        </w:rPr>
        <w:t xml:space="preserve">          </w:t>
      </w:r>
    </w:p>
    <w:p w:rsidR="0058215C" w:rsidRPr="00F7194E" w:rsidRDefault="0058215C" w:rsidP="000E5991">
      <w:pPr>
        <w:widowControl w:val="0"/>
        <w:ind w:left="57" w:right="57"/>
        <w:rPr>
          <w:b/>
          <w:sz w:val="4"/>
          <w:szCs w:val="16"/>
        </w:rPr>
      </w:pPr>
    </w:p>
    <w:p w:rsidR="004F1957" w:rsidRPr="00DF123F" w:rsidRDefault="004F1957" w:rsidP="000E5991">
      <w:pPr>
        <w:widowControl w:val="0"/>
        <w:spacing w:before="40"/>
        <w:ind w:left="2937" w:right="57" w:firstLine="663"/>
        <w:rPr>
          <w:b/>
        </w:rPr>
      </w:pPr>
      <w:r w:rsidRPr="00DF123F">
        <w:rPr>
          <w:b/>
        </w:rPr>
        <w:t>QUYẾT ĐỊNH</w:t>
      </w:r>
    </w:p>
    <w:p w:rsidR="000E5991" w:rsidRPr="009B3A05" w:rsidRDefault="009E13E2" w:rsidP="0090414B">
      <w:pPr>
        <w:widowControl w:val="0"/>
        <w:jc w:val="center"/>
        <w:rPr>
          <w:b/>
          <w:spacing w:val="-2"/>
        </w:rPr>
      </w:pPr>
      <w:r w:rsidRPr="009B3A05">
        <w:rPr>
          <w:b/>
          <w:spacing w:val="-2"/>
        </w:rPr>
        <w:t>Quy định</w:t>
      </w:r>
      <w:r w:rsidR="004F1957" w:rsidRPr="009B3A05">
        <w:rPr>
          <w:b/>
          <w:spacing w:val="-2"/>
        </w:rPr>
        <w:t xml:space="preserve"> </w:t>
      </w:r>
      <w:r w:rsidR="000E5991" w:rsidRPr="009B3A05">
        <w:rPr>
          <w:b/>
          <w:spacing w:val="-2"/>
        </w:rPr>
        <w:t>một số</w:t>
      </w:r>
      <w:r w:rsidRPr="009B3A05">
        <w:rPr>
          <w:b/>
          <w:spacing w:val="-2"/>
        </w:rPr>
        <w:t xml:space="preserve"> </w:t>
      </w:r>
      <w:r w:rsidR="000B7271" w:rsidRPr="009B3A05">
        <w:rPr>
          <w:b/>
          <w:spacing w:val="-2"/>
        </w:rPr>
        <w:t xml:space="preserve">nội dung </w:t>
      </w:r>
      <w:r w:rsidR="004F1957" w:rsidRPr="009B3A05">
        <w:rPr>
          <w:b/>
          <w:spacing w:val="-2"/>
        </w:rPr>
        <w:t>chi tổ chức thực hiện bồi thường, hỗ trợ,</w:t>
      </w:r>
    </w:p>
    <w:p w:rsidR="004F1957" w:rsidRPr="009B3A05" w:rsidRDefault="0090414B" w:rsidP="0090414B">
      <w:pPr>
        <w:widowControl w:val="0"/>
        <w:spacing w:after="240"/>
        <w:jc w:val="center"/>
        <w:rPr>
          <w:b/>
          <w:spacing w:val="-2"/>
        </w:rPr>
      </w:pPr>
      <w:r w:rsidRPr="009B3A05">
        <w:rPr>
          <w:b/>
          <w:noProof/>
        </w:rPr>
        <mc:AlternateContent>
          <mc:Choice Requires="wps">
            <w:drawing>
              <wp:anchor distT="0" distB="0" distL="114300" distR="114300" simplePos="0" relativeHeight="251661824" behindDoc="0" locked="0" layoutInCell="1" allowOverlap="1" wp14:anchorId="3760E069" wp14:editId="1A8DE4FA">
                <wp:simplePos x="0" y="0"/>
                <wp:positionH relativeFrom="column">
                  <wp:posOffset>1844980</wp:posOffset>
                </wp:positionH>
                <wp:positionV relativeFrom="paragraph">
                  <wp:posOffset>293370</wp:posOffset>
                </wp:positionV>
                <wp:extent cx="1866900" cy="0"/>
                <wp:effectExtent l="0" t="0" r="190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5.25pt;margin-top:23.1pt;width:14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l4c7HQIAADsEAAAOAAAAZHJzL2Uyb0RvYy54bWysU8GO2jAQvVfqP1i+s0looBARVqsEetm2 SLv9AGM7iVXHtmxDQFX/vWNDENteqqoczDgz8+bNvPHq8dRLdOTWCa1KnD2kGHFFNROqLfG31+1k gZHzRDEiteIlPnOHH9fv360GU/Cp7rRk3CIAUa4YTIk7702RJI52vCfuQRuuwNlo2xMPV9smzJIB 0HuZTNN0ngzaMmM15c7B1/rixOuI3zSc+q9N47hHssTAzcfTxnMfzmS9IkVriekEvdIg/8CiJ0JB 0RtUTTxBByv+gOoFtdrpxj9Q3Se6aQTlsQfoJkt/6+alI4bHXmA4ztzG5P4fLP1y3FkkWInnGCnS g0RPB69jZZSH8QzGFRBVqZ0NDdKTejHPmn53SOmqI6rlMfj1bCA3CxnJm5RwcQaK7IfPmkEMAfw4 q1Nj+wAJU0CnKMn5Jgk/eUThY7aYz5cpKEdHX0KKMdFY5z9x3aNglNh5S0Tb+UorBcJrm8Uy5Pjs fKBFijEhVFV6K6SM+kuFhhIvZ9NZTHBaChacIczZdl9Ji44kbFD8xR7Bcx9m9UGxCNZxwjZX2xMh LzYUlyrgQWNA52pdVuTHMl1uFptFPsmn880kT+t68rSt8sl8m32c1R/qqqqzn4FalhedYIyrwG5c 1yz/u3W4PpzLot0W9jaG5C16nBeQHf8j6ahsEPOyFnvNzjs7Kg4bGoOvryk8gfs72Pdvfv0LAAD/ /wMAUEsDBBQABgAIAAAAIQDJX9S43QAAAAkBAAAPAAAAZHJzL2Rvd25yZXYueG1sTI/BTsMwDIbv SLxDZCQuiCWr1mkrTacJiQNHtklcs8a03RqnatK17Okx4sCO/v3p9+d8M7lWXLAPjScN85kCgVR6 21Cl4bB/e16BCNGQNa0n1PCNATbF/V1uMutH+sDLLlaCSyhkRkMdY5dJGcoanQkz3yHx7sv3zkQe +0ra3oxc7lqZKLWUzjTEF2rT4WuN5Xk3OA0YhnSutmtXHd6v49Nncj2N3V7rx4dp+wIi4hT/YfjV Z3Uo2OnoB7JBtBqStUoZ1bBYJiAYSFcLDo5/gSxyeftB8QMAAP//AwBQSwECLQAUAAYACAAAACEA toM4kv4AAADhAQAAEwAAAAAAAAAAAAAAAAAAAAAAW0NvbnRlbnRfVHlwZXNdLnhtbFBLAQItABQA BgAIAAAAIQA4/SH/1gAAAJQBAAALAAAAAAAAAAAAAAAAAC8BAABfcmVscy8ucmVsc1BLAQItABQA BgAIAAAAIQCcl4c7HQIAADsEAAAOAAAAAAAAAAAAAAAAAC4CAABkcnMvZTJvRG9jLnhtbFBLAQIt ABQABgAIAAAAIQDJX9S43QAAAAkBAAAPAAAAAAAAAAAAAAAAAHcEAABkcnMvZG93bnJldi54bWxQ SwUGAAAAAAQABADzAAAAgQUAAAAA "/>
            </w:pict>
          </mc:Fallback>
        </mc:AlternateContent>
      </w:r>
      <w:r w:rsidR="004F1957" w:rsidRPr="009B3A05">
        <w:rPr>
          <w:b/>
          <w:spacing w:val="-2"/>
        </w:rPr>
        <w:t>tái định cư</w:t>
      </w:r>
      <w:r w:rsidR="000B7271" w:rsidRPr="009B3A05">
        <w:rPr>
          <w:b/>
          <w:spacing w:val="-2"/>
        </w:rPr>
        <w:t xml:space="preserve"> </w:t>
      </w:r>
      <w:r w:rsidR="004F1957" w:rsidRPr="009B3A05">
        <w:rPr>
          <w:b/>
          <w:spacing w:val="-2"/>
        </w:rPr>
        <w:t>khi Nhà nước thu hồi đất trên địa bàn tỉnh Ninh Thuận</w:t>
      </w:r>
    </w:p>
    <w:p w:rsidR="004F1957" w:rsidRPr="00DF123F" w:rsidRDefault="004F1957" w:rsidP="004F1957">
      <w:pPr>
        <w:widowControl w:val="0"/>
        <w:ind w:firstLine="561"/>
        <w:jc w:val="center"/>
        <w:rPr>
          <w:b/>
        </w:rPr>
      </w:pPr>
      <w:r w:rsidRPr="00DF123F">
        <w:rPr>
          <w:b/>
          <w:vertAlign w:val="superscript"/>
          <w:lang w:val="nl-NL"/>
        </w:rPr>
        <w:t xml:space="preserve"> </w:t>
      </w:r>
    </w:p>
    <w:p w:rsidR="004F1957" w:rsidRPr="00DF123F" w:rsidRDefault="004F1957" w:rsidP="004F1957">
      <w:pPr>
        <w:widowControl w:val="0"/>
        <w:jc w:val="center"/>
        <w:rPr>
          <w:b/>
          <w:bCs/>
          <w:lang w:val="nl-NL"/>
        </w:rPr>
      </w:pPr>
      <w:r w:rsidRPr="00DF123F">
        <w:rPr>
          <w:b/>
          <w:bCs/>
          <w:lang w:val="nl-NL"/>
        </w:rPr>
        <w:t>ỦY BAN NHÂN DÂN TỈNH NINH THUẬN</w:t>
      </w:r>
    </w:p>
    <w:p w:rsidR="004F1957" w:rsidRPr="00DF123F" w:rsidRDefault="004F1957" w:rsidP="004F1957">
      <w:pPr>
        <w:widowControl w:val="0"/>
        <w:spacing w:line="264" w:lineRule="auto"/>
        <w:jc w:val="center"/>
        <w:rPr>
          <w:sz w:val="20"/>
          <w:szCs w:val="24"/>
        </w:rPr>
      </w:pPr>
    </w:p>
    <w:p w:rsidR="004F1957" w:rsidRPr="00DF123F" w:rsidRDefault="004F1957" w:rsidP="009B3A05">
      <w:pPr>
        <w:widowControl w:val="0"/>
        <w:spacing w:before="120" w:line="276" w:lineRule="auto"/>
        <w:ind w:firstLine="720"/>
        <w:jc w:val="both"/>
        <w:rPr>
          <w:i/>
          <w:iCs/>
        </w:rPr>
      </w:pPr>
      <w:r w:rsidRPr="00DF123F">
        <w:rPr>
          <w:i/>
          <w:iCs/>
        </w:rPr>
        <w:t xml:space="preserve">Căn cứ Luật Tổ chức chính quyền địa phương ngày 19 tháng 6 năm 2015; </w:t>
      </w:r>
    </w:p>
    <w:p w:rsidR="004F1957" w:rsidRPr="00DF123F" w:rsidRDefault="004F1957" w:rsidP="009B3A05">
      <w:pPr>
        <w:widowControl w:val="0"/>
        <w:spacing w:before="120" w:line="276" w:lineRule="auto"/>
        <w:ind w:firstLine="720"/>
        <w:jc w:val="both"/>
        <w:rPr>
          <w:i/>
          <w:iCs/>
        </w:rPr>
      </w:pPr>
      <w:r w:rsidRPr="00DF123F">
        <w:rPr>
          <w:i/>
          <w:iCs/>
        </w:rPr>
        <w:t>Căn cứ Luật Sửa đổi, bổ sung một số điều của Luật Tổ chức Chính phủ và Luật Tổ chức chính quyền địa phương ngày 22 tháng 11 năm 2019;</w:t>
      </w:r>
    </w:p>
    <w:p w:rsidR="00E22D0A" w:rsidRPr="00DF123F" w:rsidRDefault="00E22D0A" w:rsidP="009B3A05">
      <w:pPr>
        <w:spacing w:before="120" w:line="276" w:lineRule="auto"/>
        <w:ind w:firstLine="720"/>
        <w:jc w:val="both"/>
        <w:rPr>
          <w:i/>
          <w:lang w:val="en-GB"/>
        </w:rPr>
      </w:pPr>
      <w:r w:rsidRPr="00DF123F">
        <w:rPr>
          <w:i/>
          <w:lang w:val="en-GB"/>
        </w:rPr>
        <w:t>Căn cứ Luật Ban hành văn bản quy phạm pháp luật năm 2015;</w:t>
      </w:r>
    </w:p>
    <w:p w:rsidR="00E22D0A" w:rsidRPr="00DF123F" w:rsidRDefault="00E22D0A" w:rsidP="009B3A05">
      <w:pPr>
        <w:spacing w:before="120" w:line="276" w:lineRule="auto"/>
        <w:ind w:firstLine="720"/>
        <w:jc w:val="both"/>
        <w:rPr>
          <w:i/>
          <w:lang w:val="vi-VN"/>
        </w:rPr>
      </w:pPr>
      <w:r w:rsidRPr="00DF123F">
        <w:rPr>
          <w:i/>
          <w:lang w:val="en-GB"/>
        </w:rPr>
        <w:t>Căn cứ Luật Sửa đổi, bổ sung một số điều của Luật ban hành văn bản quy phạm pháp luật ngày 18 tháng 6 năm 2020;</w:t>
      </w:r>
    </w:p>
    <w:p w:rsidR="00E22D0A" w:rsidRPr="00DF123F" w:rsidRDefault="00E22D0A" w:rsidP="009B3A05">
      <w:pPr>
        <w:spacing w:before="120" w:line="276" w:lineRule="auto"/>
        <w:ind w:firstLine="720"/>
        <w:jc w:val="both"/>
        <w:rPr>
          <w:i/>
          <w:lang w:val="en-GB"/>
        </w:rPr>
      </w:pPr>
      <w:r w:rsidRPr="00DF123F">
        <w:rPr>
          <w:i/>
          <w:lang w:val="vi-VN"/>
        </w:rPr>
        <w:t xml:space="preserve">Căn cứ </w:t>
      </w:r>
      <w:r w:rsidRPr="00DF123F">
        <w:rPr>
          <w:i/>
          <w:lang w:val="en-GB"/>
        </w:rPr>
        <w:t xml:space="preserve">Nghị định số 34/2016/NĐ-CP ngày 14 tháng 5 năm 2016 của Chính phủ quy định chi tiết một số điều và biện pháp thi hành Luật Ban hành văn bản quy phạm pháp luật; </w:t>
      </w:r>
    </w:p>
    <w:p w:rsidR="00E22D0A" w:rsidRPr="00DF123F" w:rsidRDefault="00E22D0A" w:rsidP="009B3A05">
      <w:pPr>
        <w:spacing w:before="120" w:line="276" w:lineRule="auto"/>
        <w:ind w:firstLine="720"/>
        <w:jc w:val="both"/>
        <w:rPr>
          <w:i/>
          <w:sz w:val="32"/>
          <w:lang w:val="nl-NL"/>
        </w:rPr>
      </w:pPr>
      <w:r w:rsidRPr="00DF123F">
        <w:rPr>
          <w:i/>
          <w:lang w:val="en-GB"/>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E22D0A" w:rsidRPr="00DF123F" w:rsidRDefault="00E22D0A" w:rsidP="009B3A05">
      <w:pPr>
        <w:widowControl w:val="0"/>
        <w:spacing w:before="120" w:line="276" w:lineRule="auto"/>
        <w:ind w:firstLine="720"/>
        <w:jc w:val="both"/>
        <w:rPr>
          <w:i/>
          <w:spacing w:val="-4"/>
          <w:position w:val="-4"/>
          <w:lang w:val="en-GB"/>
        </w:rPr>
      </w:pPr>
      <w:r w:rsidRPr="00DF123F">
        <w:rPr>
          <w:i/>
          <w:spacing w:val="-4"/>
          <w:position w:val="-4"/>
          <w:lang w:val="vi-VN"/>
        </w:rPr>
        <w:t xml:space="preserve">Căn cứ </w:t>
      </w:r>
      <w:r w:rsidRPr="00DF123F">
        <w:rPr>
          <w:i/>
          <w:spacing w:val="-4"/>
          <w:position w:val="-4"/>
          <w:lang w:val="en-GB"/>
        </w:rPr>
        <w:t xml:space="preserve">Nghị định số 01/2017/NĐ-CP ngày 06 tháng 01 năm 2017 </w:t>
      </w:r>
      <w:r w:rsidRPr="00DF123F">
        <w:rPr>
          <w:i/>
          <w:iCs/>
          <w:spacing w:val="-4"/>
          <w:position w:val="-4"/>
          <w:lang w:val="en-GB"/>
        </w:rPr>
        <w:t xml:space="preserve">của Chính phủ </w:t>
      </w:r>
      <w:r w:rsidRPr="00DF123F">
        <w:rPr>
          <w:i/>
          <w:spacing w:val="-4"/>
          <w:position w:val="-4"/>
          <w:lang w:val="en-GB"/>
        </w:rPr>
        <w:t>sửa đổi, bổ sung một số nghị định quy định chi tiết thi hành Luật Đất đai;</w:t>
      </w:r>
    </w:p>
    <w:p w:rsidR="00E22D0A" w:rsidRPr="00DF123F" w:rsidRDefault="00E22D0A" w:rsidP="009B3A05">
      <w:pPr>
        <w:widowControl w:val="0"/>
        <w:spacing w:before="120" w:line="276" w:lineRule="auto"/>
        <w:ind w:firstLine="720"/>
        <w:jc w:val="both"/>
        <w:rPr>
          <w:i/>
          <w:iCs/>
        </w:rPr>
      </w:pPr>
      <w:r w:rsidRPr="00DF123F">
        <w:rPr>
          <w:rFonts w:eastAsia="Calibri"/>
          <w:i/>
          <w:iCs/>
          <w:lang w:val="vi-VN"/>
        </w:rPr>
        <w:t>Căn cứ Thông tư s</w:t>
      </w:r>
      <w:r w:rsidRPr="00DF123F">
        <w:rPr>
          <w:rFonts w:eastAsia="Calibri"/>
          <w:i/>
          <w:iCs/>
          <w:lang w:val="en-GB"/>
        </w:rPr>
        <w:t>ố</w:t>
      </w:r>
      <w:r w:rsidRPr="00DF123F">
        <w:rPr>
          <w:rFonts w:eastAsia="Calibri"/>
          <w:i/>
          <w:iCs/>
          <w:lang w:val="vi-VN"/>
        </w:rPr>
        <w:t> 37/2014/TT-BTNMT </w:t>
      </w:r>
      <w:r w:rsidRPr="00DF123F">
        <w:rPr>
          <w:rFonts w:eastAsia="Calibri"/>
          <w:i/>
          <w:iCs/>
          <w:lang w:val="en-GB"/>
        </w:rPr>
        <w:t>ngày </w:t>
      </w:r>
      <w:r w:rsidRPr="00DF123F">
        <w:rPr>
          <w:rFonts w:eastAsia="Calibri"/>
          <w:i/>
          <w:iCs/>
          <w:lang w:val="vi-VN"/>
        </w:rPr>
        <w:t>30 tháng 6 năm 2014 của Bộ trưởng Bộ Tài nguyên và Môi trường quy định chi tiết về bồi thường, h</w:t>
      </w:r>
      <w:r w:rsidRPr="00DF123F">
        <w:rPr>
          <w:rFonts w:eastAsia="Calibri"/>
          <w:i/>
          <w:iCs/>
          <w:lang w:val="en-GB"/>
        </w:rPr>
        <w:t>ỗ </w:t>
      </w:r>
      <w:r w:rsidRPr="00DF123F">
        <w:rPr>
          <w:rFonts w:eastAsia="Calibri"/>
          <w:i/>
          <w:iCs/>
          <w:lang w:val="vi-VN"/>
        </w:rPr>
        <w:t>trợ, t</w:t>
      </w:r>
      <w:r w:rsidRPr="00DF123F">
        <w:rPr>
          <w:rFonts w:eastAsia="Calibri"/>
          <w:i/>
          <w:iCs/>
          <w:lang w:val="en-GB"/>
        </w:rPr>
        <w:t>á</w:t>
      </w:r>
      <w:r w:rsidRPr="00DF123F">
        <w:rPr>
          <w:rFonts w:eastAsia="Calibri"/>
          <w:i/>
          <w:iCs/>
          <w:lang w:val="vi-VN"/>
        </w:rPr>
        <w:t>i định cư khi Nhà nước thu hồi đất;</w:t>
      </w:r>
    </w:p>
    <w:p w:rsidR="004F1957" w:rsidRPr="00DF123F" w:rsidRDefault="004F1957" w:rsidP="009B3A05">
      <w:pPr>
        <w:widowControl w:val="0"/>
        <w:spacing w:before="120" w:line="276" w:lineRule="auto"/>
        <w:ind w:firstLine="720"/>
        <w:jc w:val="both"/>
        <w:rPr>
          <w:i/>
          <w:spacing w:val="-4"/>
        </w:rPr>
      </w:pPr>
      <w:r w:rsidRPr="00DF123F">
        <w:rPr>
          <w:i/>
          <w:spacing w:val="-4"/>
        </w:rPr>
        <w:t xml:space="preserve">Căn cứ Thông tư số </w:t>
      </w:r>
      <w:r w:rsidRPr="00DF123F">
        <w:rPr>
          <w:i/>
          <w:spacing w:val="-4"/>
          <w:lang w:val="vi-VN"/>
        </w:rPr>
        <w:t>74/2015/TT-BTC</w:t>
      </w:r>
      <w:r w:rsidRPr="00DF123F">
        <w:rPr>
          <w:i/>
          <w:spacing w:val="-4"/>
        </w:rPr>
        <w:t xml:space="preserve"> ngày </w:t>
      </w:r>
      <w:r w:rsidRPr="00DF123F">
        <w:rPr>
          <w:i/>
          <w:iCs/>
          <w:spacing w:val="-4"/>
        </w:rPr>
        <w:t xml:space="preserve">15 tháng 5 năm 2015 của Bộ trưởng Bộ Tài chính </w:t>
      </w:r>
      <w:r w:rsidRPr="00DF123F">
        <w:rPr>
          <w:i/>
          <w:spacing w:val="-4"/>
          <w:lang w:val="vi-VN"/>
        </w:rPr>
        <w:t>hướng dẫn việc lập dự toán, sử dụng và thanh quyết toán kinh phí tổ chức thực hiện bồi thường, hỗ trợ, tái định cư khi nhà nước thu hồi đất</w:t>
      </w:r>
      <w:r w:rsidRPr="00DF123F">
        <w:rPr>
          <w:i/>
          <w:spacing w:val="-4"/>
        </w:rPr>
        <w:t>;</w:t>
      </w:r>
    </w:p>
    <w:p w:rsidR="004F1957" w:rsidRPr="00DF123F" w:rsidRDefault="004F1957" w:rsidP="009B3A05">
      <w:pPr>
        <w:widowControl w:val="0"/>
        <w:shd w:val="clear" w:color="auto" w:fill="FFFFFF"/>
        <w:spacing w:before="120" w:line="276" w:lineRule="auto"/>
        <w:ind w:firstLine="720"/>
        <w:jc w:val="both"/>
        <w:rPr>
          <w:bCs/>
          <w:i/>
          <w:lang w:eastAsia="x-none"/>
        </w:rPr>
      </w:pPr>
      <w:r w:rsidRPr="00DF123F">
        <w:rPr>
          <w:bCs/>
          <w:i/>
          <w:lang w:val="x-none" w:eastAsia="x-none"/>
        </w:rPr>
        <w:t xml:space="preserve">Theo </w:t>
      </w:r>
      <w:r w:rsidRPr="00DF123F">
        <w:rPr>
          <w:bCs/>
          <w:i/>
          <w:lang w:eastAsia="x-none"/>
        </w:rPr>
        <w:t xml:space="preserve">đề nghị của Giám đốc Sở Tài chính tại Tờ trình số </w:t>
      </w:r>
      <w:r w:rsidR="00D07357">
        <w:rPr>
          <w:bCs/>
          <w:i/>
          <w:lang w:eastAsia="x-none"/>
        </w:rPr>
        <w:t>2970</w:t>
      </w:r>
      <w:r w:rsidRPr="00DF123F">
        <w:rPr>
          <w:bCs/>
          <w:i/>
          <w:lang w:eastAsia="x-none"/>
        </w:rPr>
        <w:t xml:space="preserve">/TTr-STC ngày </w:t>
      </w:r>
      <w:r w:rsidR="00D07357">
        <w:rPr>
          <w:bCs/>
          <w:i/>
          <w:lang w:eastAsia="x-none"/>
        </w:rPr>
        <w:t>05</w:t>
      </w:r>
      <w:r w:rsidRPr="00DF123F">
        <w:rPr>
          <w:bCs/>
          <w:i/>
          <w:lang w:val="x-none" w:eastAsia="x-none"/>
        </w:rPr>
        <w:t xml:space="preserve"> tháng</w:t>
      </w:r>
      <w:r w:rsidRPr="00DF123F">
        <w:rPr>
          <w:bCs/>
          <w:i/>
          <w:lang w:eastAsia="x-none"/>
        </w:rPr>
        <w:t xml:space="preserve"> </w:t>
      </w:r>
      <w:r w:rsidR="00D07357">
        <w:rPr>
          <w:bCs/>
          <w:i/>
          <w:lang w:eastAsia="x-none"/>
        </w:rPr>
        <w:t xml:space="preserve">9 </w:t>
      </w:r>
      <w:r w:rsidRPr="00DF123F">
        <w:rPr>
          <w:bCs/>
          <w:i/>
          <w:lang w:val="x-none" w:eastAsia="x-none"/>
        </w:rPr>
        <w:t>năm 2022</w:t>
      </w:r>
      <w:r w:rsidR="008C32DD" w:rsidRPr="00DF123F">
        <w:rPr>
          <w:bCs/>
          <w:i/>
          <w:lang w:eastAsia="x-none"/>
        </w:rPr>
        <w:t>;</w:t>
      </w:r>
      <w:r w:rsidRPr="00DF123F">
        <w:rPr>
          <w:bCs/>
          <w:i/>
          <w:lang w:eastAsia="x-none"/>
        </w:rPr>
        <w:t xml:space="preserve"> </w:t>
      </w:r>
      <w:r w:rsidR="008C32DD" w:rsidRPr="00DF123F">
        <w:rPr>
          <w:bCs/>
          <w:i/>
          <w:lang w:eastAsia="x-none"/>
        </w:rPr>
        <w:t>ý kiến thẩm địn</w:t>
      </w:r>
      <w:r w:rsidR="00D07357">
        <w:rPr>
          <w:bCs/>
          <w:i/>
          <w:lang w:eastAsia="x-none"/>
        </w:rPr>
        <w:t>h của Sở Tư pháp tại Báo cáo số 1967</w:t>
      </w:r>
      <w:r w:rsidR="008C32DD" w:rsidRPr="00DF123F">
        <w:rPr>
          <w:bCs/>
          <w:i/>
          <w:lang w:eastAsia="x-none"/>
        </w:rPr>
        <w:t xml:space="preserve">/BC-STP ngày </w:t>
      </w:r>
      <w:r w:rsidR="00D07357">
        <w:rPr>
          <w:bCs/>
          <w:i/>
          <w:lang w:eastAsia="x-none"/>
        </w:rPr>
        <w:t>30</w:t>
      </w:r>
      <w:r w:rsidR="008C32DD" w:rsidRPr="00DF123F">
        <w:rPr>
          <w:bCs/>
          <w:i/>
          <w:lang w:eastAsia="x-none"/>
        </w:rPr>
        <w:t xml:space="preserve"> tháng </w:t>
      </w:r>
      <w:r w:rsidR="00D07357">
        <w:rPr>
          <w:bCs/>
          <w:i/>
          <w:lang w:eastAsia="x-none"/>
        </w:rPr>
        <w:t>8</w:t>
      </w:r>
      <w:r w:rsidR="000E5991" w:rsidRPr="00DF123F">
        <w:rPr>
          <w:bCs/>
          <w:i/>
          <w:lang w:eastAsia="x-none"/>
        </w:rPr>
        <w:t xml:space="preserve"> </w:t>
      </w:r>
      <w:r w:rsidR="008C32DD" w:rsidRPr="00DF123F">
        <w:rPr>
          <w:bCs/>
          <w:i/>
          <w:lang w:eastAsia="x-none"/>
        </w:rPr>
        <w:t>năm 2022.</w:t>
      </w:r>
    </w:p>
    <w:p w:rsidR="004F1957" w:rsidRPr="00DF123F" w:rsidRDefault="004F1957" w:rsidP="000E5991">
      <w:pPr>
        <w:widowControl w:val="0"/>
        <w:spacing w:after="360"/>
        <w:jc w:val="center"/>
        <w:rPr>
          <w:b/>
          <w:lang w:val="it-IT"/>
        </w:rPr>
      </w:pPr>
      <w:r w:rsidRPr="00DF123F">
        <w:rPr>
          <w:b/>
          <w:lang w:val="it-IT"/>
        </w:rPr>
        <w:lastRenderedPageBreak/>
        <w:t>QUYẾT ĐỊNH:</w:t>
      </w:r>
    </w:p>
    <w:p w:rsidR="00FE7FC9" w:rsidRPr="00DF123F" w:rsidRDefault="004F1957" w:rsidP="00ED29B3">
      <w:pPr>
        <w:widowControl w:val="0"/>
        <w:spacing w:before="160" w:after="160"/>
        <w:ind w:left="26" w:firstLine="692"/>
        <w:jc w:val="both"/>
        <w:rPr>
          <w:b/>
          <w:lang w:val="it-IT"/>
        </w:rPr>
      </w:pPr>
      <w:r w:rsidRPr="00DF123F">
        <w:rPr>
          <w:b/>
          <w:lang w:val="it-IT"/>
        </w:rPr>
        <w:t>Điều 1.</w:t>
      </w:r>
      <w:r w:rsidRPr="00DF123F">
        <w:rPr>
          <w:lang w:val="it-IT"/>
        </w:rPr>
        <w:t xml:space="preserve"> </w:t>
      </w:r>
      <w:r w:rsidR="00AE1C60" w:rsidRPr="00DF123F">
        <w:rPr>
          <w:b/>
          <w:lang w:val="it-IT"/>
        </w:rPr>
        <w:t>Quy định một số</w:t>
      </w:r>
      <w:r w:rsidR="00FE7FC9" w:rsidRPr="00DF123F">
        <w:rPr>
          <w:b/>
          <w:lang w:val="it-IT"/>
        </w:rPr>
        <w:t xml:space="preserve"> </w:t>
      </w:r>
      <w:r w:rsidR="000B7271" w:rsidRPr="00DF123F">
        <w:rPr>
          <w:b/>
          <w:lang w:val="it-IT"/>
        </w:rPr>
        <w:t>nội dung chi</w:t>
      </w:r>
      <w:r w:rsidR="009F6532" w:rsidRPr="00DF123F">
        <w:rPr>
          <w:b/>
          <w:lang w:val="it-IT"/>
        </w:rPr>
        <w:t xml:space="preserve"> chưa có tiêu chuẩn, định mức, đơn giá do cơ quan nhà nước có thẩm quyền quy định về tổ chức thực hiện bồi thường, hỗ trợ, tái định cư khi Nhà nước thu hồi đất trên địa bàn tỉnh</w:t>
      </w:r>
    </w:p>
    <w:p w:rsidR="000A723C" w:rsidRPr="00DF123F" w:rsidRDefault="000A723C" w:rsidP="00ED29B3">
      <w:pPr>
        <w:widowControl w:val="0"/>
        <w:spacing w:before="160" w:after="160"/>
        <w:ind w:left="26" w:firstLine="692"/>
        <w:jc w:val="both"/>
      </w:pPr>
      <w:r w:rsidRPr="00DF123F">
        <w:t xml:space="preserve">1. Chi </w:t>
      </w:r>
      <w:r w:rsidR="00FF42D0" w:rsidRPr="00DF123F">
        <w:t xml:space="preserve">tuyên truyền các chính sách, chế độ về bồi thường, hỗ trợ, tái định cư; kiểm kê, cắm mốc, điều tra, khảo sát, đánh giá đất đai, tài sản thực tế bị thiệt hại; </w:t>
      </w:r>
      <w:r w:rsidR="004B6626" w:rsidRPr="00DF123F">
        <w:t xml:space="preserve">kiểm tra, </w:t>
      </w:r>
      <w:r w:rsidR="00905264" w:rsidRPr="00DF123F">
        <w:t>hướng dẫn thực hiện chính sách bồi thường, giải quyết những vướng mắc</w:t>
      </w:r>
      <w:r w:rsidRPr="00DF123F">
        <w:t xml:space="preserve">; </w:t>
      </w:r>
      <w:r w:rsidR="005C4947" w:rsidRPr="00DF123F">
        <w:t>lập, phê duyệt, công khai phương án bồi thường, hỗ trợ, tái định cư:</w:t>
      </w:r>
    </w:p>
    <w:p w:rsidR="004F1957" w:rsidRPr="00DF123F" w:rsidRDefault="000A723C" w:rsidP="00ED29B3">
      <w:pPr>
        <w:widowControl w:val="0"/>
        <w:spacing w:before="160" w:after="160"/>
        <w:ind w:left="26" w:firstLine="692"/>
        <w:jc w:val="both"/>
      </w:pPr>
      <w:r w:rsidRPr="00DF123F">
        <w:t>a)</w:t>
      </w:r>
      <w:r w:rsidR="004F1957" w:rsidRPr="00DF123F">
        <w:t xml:space="preserve"> </w:t>
      </w:r>
      <w:r w:rsidR="00AB0BCB" w:rsidRPr="00DF123F">
        <w:t xml:space="preserve">Mức </w:t>
      </w:r>
      <w:r w:rsidR="00AC026D" w:rsidRPr="00DF123F">
        <w:t xml:space="preserve">chi thuê nhân công </w:t>
      </w:r>
      <w:r w:rsidR="00837801">
        <w:t>(có hợp đồng thuê ngoài)</w:t>
      </w:r>
    </w:p>
    <w:p w:rsidR="006A0EC8" w:rsidRPr="00DF123F" w:rsidRDefault="00AB0BCB" w:rsidP="00ED29B3">
      <w:pPr>
        <w:widowControl w:val="0"/>
        <w:spacing w:before="160" w:after="160"/>
        <w:ind w:left="26" w:firstLine="692"/>
        <w:jc w:val="both"/>
      </w:pPr>
      <w:r w:rsidRPr="00DF123F">
        <w:t xml:space="preserve">- </w:t>
      </w:r>
      <w:r w:rsidR="006A0EC8" w:rsidRPr="00DF123F">
        <w:t xml:space="preserve">Đối với địa bàn thuộc vùng III (Phan Rang - Tháp Chàm, </w:t>
      </w:r>
      <w:r w:rsidR="00F03B2E" w:rsidRPr="00DF123F">
        <w:t>Thuận Bắc, Ninh Hải), tiền</w:t>
      </w:r>
      <w:r w:rsidR="006A0EC8" w:rsidRPr="00DF123F">
        <w:t xml:space="preserve"> </w:t>
      </w:r>
      <w:r w:rsidR="00F03B2E" w:rsidRPr="00DF123F">
        <w:t>thuê</w:t>
      </w:r>
      <w:r w:rsidR="006A0EC8" w:rsidRPr="00DF123F">
        <w:t xml:space="preserve"> </w:t>
      </w:r>
      <w:r w:rsidR="00F03B2E" w:rsidRPr="00DF123F">
        <w:t xml:space="preserve">nhân công </w:t>
      </w:r>
      <w:r w:rsidR="006A0EC8" w:rsidRPr="00DF123F">
        <w:t>không quá 140.000 đồng/người/ngày;</w:t>
      </w:r>
    </w:p>
    <w:p w:rsidR="004F1957" w:rsidRPr="00DF123F" w:rsidRDefault="00AB0BCB" w:rsidP="00ED29B3">
      <w:pPr>
        <w:widowControl w:val="0"/>
        <w:spacing w:before="160" w:after="160"/>
        <w:ind w:left="26" w:firstLine="692"/>
        <w:jc w:val="both"/>
      </w:pPr>
      <w:r w:rsidRPr="00DF123F">
        <w:t xml:space="preserve">- </w:t>
      </w:r>
      <w:r w:rsidR="006A0EC8" w:rsidRPr="00DF123F">
        <w:t>Đối với địa bàn thuộc vùng IV (Bác Ái, Ninh Sơn, Ni</w:t>
      </w:r>
      <w:r w:rsidR="00625A60" w:rsidRPr="00DF123F">
        <w:t>nh Phước, Thuận Na</w:t>
      </w:r>
      <w:r w:rsidR="00F03B2E" w:rsidRPr="00DF123F">
        <w:t>m), tiền</w:t>
      </w:r>
      <w:r w:rsidR="006A0EC8" w:rsidRPr="00DF123F">
        <w:t xml:space="preserve"> </w:t>
      </w:r>
      <w:r w:rsidR="00F03B2E" w:rsidRPr="00DF123F">
        <w:t>thuê nhân công</w:t>
      </w:r>
      <w:r w:rsidR="006A0EC8" w:rsidRPr="00DF123F">
        <w:t xml:space="preserve"> không quá 125.000 đồng/người/ngày</w:t>
      </w:r>
      <w:r w:rsidR="00EF514C" w:rsidRPr="00DF123F">
        <w:t>.</w:t>
      </w:r>
    </w:p>
    <w:p w:rsidR="000A723C" w:rsidRPr="00DF123F" w:rsidRDefault="000A723C" w:rsidP="00ED29B3">
      <w:pPr>
        <w:widowControl w:val="0"/>
        <w:spacing w:before="160" w:after="160"/>
        <w:ind w:left="26" w:firstLine="692"/>
        <w:jc w:val="both"/>
      </w:pPr>
      <w:r w:rsidRPr="00DF123F">
        <w:t xml:space="preserve">b) Chi hỗ trợ </w:t>
      </w:r>
      <w:r w:rsidR="007C626F" w:rsidRPr="00DF123F">
        <w:t>cho cán bộ phối hợp, th</w:t>
      </w:r>
      <w:r w:rsidR="00837801">
        <w:t>am gia: 100.000 đồng/người/ngày.</w:t>
      </w:r>
    </w:p>
    <w:p w:rsidR="00EF514C" w:rsidRPr="00DF123F" w:rsidRDefault="004560A5" w:rsidP="00ED29B3">
      <w:pPr>
        <w:widowControl w:val="0"/>
        <w:spacing w:before="160" w:after="160"/>
        <w:ind w:left="26" w:firstLine="692"/>
        <w:jc w:val="both"/>
      </w:pPr>
      <w:r w:rsidRPr="00DF123F">
        <w:t xml:space="preserve">c) </w:t>
      </w:r>
      <w:r w:rsidR="00813F97" w:rsidRPr="00DF123F">
        <w:t>Đây là mức chi tối đa, tùy theo tình hình thực tế tại mỗi địa phương, tính chất công việc, đặc điểm dự án và thực tế phát sinh, các Tổ chức thực hiện bồi thường, hỗ trợ, tái định cư xây dựng mức chi cụ thể cho phù hợp</w:t>
      </w:r>
      <w:r w:rsidR="00EF514C" w:rsidRPr="00DF123F">
        <w:t>.</w:t>
      </w:r>
    </w:p>
    <w:p w:rsidR="002D62BE" w:rsidRPr="00DF123F" w:rsidRDefault="002D62BE" w:rsidP="00ED29B3">
      <w:pPr>
        <w:widowControl w:val="0"/>
        <w:spacing w:before="160" w:after="160"/>
        <w:ind w:left="26" w:firstLine="692"/>
        <w:jc w:val="both"/>
      </w:pPr>
      <w:r w:rsidRPr="00DF123F">
        <w:t xml:space="preserve">2. Định mức xăng xe máy đi công tác: 3lít/100km, tính theo số kilômet thực tế </w:t>
      </w:r>
      <w:r w:rsidR="00057C95" w:rsidRPr="00DF123F">
        <w:t xml:space="preserve">cả </w:t>
      </w:r>
      <w:r w:rsidRPr="00DF123F">
        <w:t>lượt đi</w:t>
      </w:r>
      <w:r w:rsidR="00057C95" w:rsidRPr="00DF123F">
        <w:t xml:space="preserve"> và</w:t>
      </w:r>
      <w:r w:rsidRPr="00DF123F">
        <w:t xml:space="preserve"> về</w:t>
      </w:r>
      <w:r w:rsidR="00057C95" w:rsidRPr="00DF123F">
        <w:t>;</w:t>
      </w:r>
      <w:r w:rsidRPr="00DF123F">
        <w:t xml:space="preserve"> giá xăng </w:t>
      </w:r>
      <w:r w:rsidR="000A723C" w:rsidRPr="00DF123F">
        <w:t xml:space="preserve">thanh toán </w:t>
      </w:r>
      <w:r w:rsidRPr="00DF123F">
        <w:t>tại thời điểm đi công tác.</w:t>
      </w:r>
    </w:p>
    <w:p w:rsidR="00F9379C" w:rsidRPr="00DF123F" w:rsidRDefault="002D62BE" w:rsidP="00ED29B3">
      <w:pPr>
        <w:widowControl w:val="0"/>
        <w:spacing w:before="160" w:after="160"/>
        <w:ind w:left="26" w:firstLine="692"/>
        <w:jc w:val="both"/>
      </w:pPr>
      <w:r w:rsidRPr="00DF123F">
        <w:t>3</w:t>
      </w:r>
      <w:r w:rsidR="00191E7C" w:rsidRPr="00DF123F">
        <w:t xml:space="preserve">. </w:t>
      </w:r>
      <w:r w:rsidR="004F1957" w:rsidRPr="00DF123F">
        <w:t xml:space="preserve">Chi thẩm định phương án bồi thường, hỗ trợ, tái định cư (nếu có): xác định </w:t>
      </w:r>
      <w:r w:rsidR="000A723C" w:rsidRPr="00DF123F">
        <w:t>không quá 1</w:t>
      </w:r>
      <w:r w:rsidR="004F1957" w:rsidRPr="00DF123F">
        <w:t>% (</w:t>
      </w:r>
      <w:r w:rsidR="000A723C" w:rsidRPr="00DF123F">
        <w:t>một</w:t>
      </w:r>
      <w:r w:rsidR="004F1957" w:rsidRPr="00DF123F">
        <w:t xml:space="preserve"> phần trăm) của kinh phí tổ chức thực hiện bồi thường, hỗ trợ và tái định cư theo quy định chung (có</w:t>
      </w:r>
      <w:r w:rsidR="007156B0" w:rsidRPr="00DF123F">
        <w:t xml:space="preserve"> mức trích là 2%); được sử dụng cho </w:t>
      </w:r>
      <w:r w:rsidR="00575514" w:rsidRPr="00DF123F">
        <w:t>các khoản</w:t>
      </w:r>
      <w:r w:rsidR="00F9379C" w:rsidRPr="00DF123F">
        <w:t xml:space="preserve"> chi phí vật tư, </w:t>
      </w:r>
      <w:r w:rsidR="00575514" w:rsidRPr="00DF123F">
        <w:t xml:space="preserve">văn phòng phẩm </w:t>
      </w:r>
      <w:r w:rsidR="00F9379C" w:rsidRPr="00DF123F">
        <w:t>phục vụ trực tiếp công tác tham mưu, phê duyệt phương án bồi thường, hỗ trợ, tái định cư.</w:t>
      </w:r>
    </w:p>
    <w:p w:rsidR="006E6E88" w:rsidRPr="00DF123F" w:rsidRDefault="00057C95" w:rsidP="00ED29B3">
      <w:pPr>
        <w:widowControl w:val="0"/>
        <w:spacing w:before="160" w:after="160"/>
        <w:ind w:firstLine="692"/>
        <w:jc w:val="both"/>
      </w:pPr>
      <w:r w:rsidRPr="00DF123F">
        <w:t>4</w:t>
      </w:r>
      <w:r w:rsidR="00C1639E" w:rsidRPr="00DF123F">
        <w:t>.</w:t>
      </w:r>
      <w:r w:rsidR="006E6E88" w:rsidRPr="00DF123F">
        <w:t xml:space="preserve"> Đối với dự án có thành lập Ban chỉ đạo công tác giải phóng mặt bằng cấp tỉnh, </w:t>
      </w:r>
      <w:r w:rsidR="001D2884" w:rsidRPr="00DF123F">
        <w:t>trên cơ sở nhiệm vụ công tác</w:t>
      </w:r>
      <w:r w:rsidR="00C1639E" w:rsidRPr="00DF123F">
        <w:t xml:space="preserve"> thực tế phát sinh</w:t>
      </w:r>
      <w:r w:rsidR="001D2884" w:rsidRPr="00DF123F">
        <w:t>, Ban chỉ đạo lập dự toán</w:t>
      </w:r>
      <w:r w:rsidR="00C1639E" w:rsidRPr="00DF123F">
        <w:t xml:space="preserve"> kinh phí</w:t>
      </w:r>
      <w:r w:rsidR="001D2884" w:rsidRPr="00DF123F">
        <w:t xml:space="preserve"> gửi đến Sở Tài chính </w:t>
      </w:r>
      <w:r w:rsidR="009B2477" w:rsidRPr="00DF123F">
        <w:t xml:space="preserve">để </w:t>
      </w:r>
      <w:r w:rsidR="001D2884" w:rsidRPr="00DF123F">
        <w:t>xem xét, tham mưu Ủy ban nhân dân tỉnh quyết định phê duyệt.</w:t>
      </w:r>
    </w:p>
    <w:p w:rsidR="00C1639E" w:rsidRPr="00DF123F" w:rsidRDefault="004560A5" w:rsidP="00ED29B3">
      <w:pPr>
        <w:widowControl w:val="0"/>
        <w:spacing w:before="160" w:after="160"/>
        <w:ind w:firstLine="692"/>
        <w:jc w:val="both"/>
        <w:rPr>
          <w:lang w:val="it-IT"/>
        </w:rPr>
      </w:pPr>
      <w:r w:rsidRPr="00DF123F">
        <w:t xml:space="preserve">5. </w:t>
      </w:r>
      <w:r w:rsidR="00C1639E" w:rsidRPr="00DF123F">
        <w:t xml:space="preserve">Những nội dung chi không quy định tại Quyết định này, áp dụng theo quy định tại </w:t>
      </w:r>
      <w:r w:rsidR="00C1639E" w:rsidRPr="00DF123F">
        <w:rPr>
          <w:spacing w:val="-4"/>
        </w:rPr>
        <w:t xml:space="preserve">Thông tư số </w:t>
      </w:r>
      <w:r w:rsidR="00C1639E" w:rsidRPr="00DF123F">
        <w:rPr>
          <w:spacing w:val="-4"/>
          <w:lang w:val="vi-VN"/>
        </w:rPr>
        <w:t>74/2015/TT-BTC</w:t>
      </w:r>
      <w:r w:rsidR="00C1639E" w:rsidRPr="00DF123F">
        <w:rPr>
          <w:spacing w:val="-4"/>
        </w:rPr>
        <w:t xml:space="preserve"> </w:t>
      </w:r>
      <w:r w:rsidR="00C1639E" w:rsidRPr="00DF123F">
        <w:rPr>
          <w:iCs/>
          <w:spacing w:val="-4"/>
        </w:rPr>
        <w:t>của Bộ trưởng Bộ Tài chính</w:t>
      </w:r>
      <w:r w:rsidR="00310691" w:rsidRPr="00DF123F">
        <w:rPr>
          <w:lang w:val="it-IT"/>
        </w:rPr>
        <w:t>.</w:t>
      </w:r>
    </w:p>
    <w:p w:rsidR="005B709B" w:rsidRPr="00DF123F" w:rsidRDefault="00933A9C" w:rsidP="00ED29B3">
      <w:pPr>
        <w:widowControl w:val="0"/>
        <w:spacing w:before="160" w:after="160"/>
        <w:ind w:firstLine="692"/>
        <w:jc w:val="both"/>
      </w:pPr>
      <w:r w:rsidRPr="00DF123F">
        <w:t xml:space="preserve">Các </w:t>
      </w:r>
      <w:r w:rsidR="005B709B" w:rsidRPr="00DF123F">
        <w:t>Tổ chức thực hiện bồi thường, hỗ trợ, tái định cư</w:t>
      </w:r>
      <w:r w:rsidRPr="00DF123F">
        <w:t xml:space="preserve"> đưa </w:t>
      </w:r>
      <w:r w:rsidR="00057C95" w:rsidRPr="00DF123F">
        <w:t xml:space="preserve">các nội dung chi </w:t>
      </w:r>
      <w:r w:rsidR="006E002D" w:rsidRPr="00DF123F">
        <w:t>tại Điều này</w:t>
      </w:r>
      <w:r w:rsidR="00057C95" w:rsidRPr="00DF123F">
        <w:t xml:space="preserve"> </w:t>
      </w:r>
      <w:r w:rsidRPr="00DF123F">
        <w:t xml:space="preserve">vào Quy chế chi tiêu nội bộ </w:t>
      </w:r>
      <w:r w:rsidR="004560A5" w:rsidRPr="00DF123F">
        <w:t xml:space="preserve">của đơn vị </w:t>
      </w:r>
      <w:r w:rsidR="00057C95" w:rsidRPr="00DF123F">
        <w:t>để thực hiện</w:t>
      </w:r>
      <w:r w:rsidRPr="00DF123F">
        <w:t>.</w:t>
      </w:r>
    </w:p>
    <w:p w:rsidR="00F7194E" w:rsidRPr="00F7194E" w:rsidRDefault="00F7194E" w:rsidP="00ED29B3">
      <w:pPr>
        <w:widowControl w:val="0"/>
        <w:spacing w:before="160" w:after="160"/>
        <w:ind w:firstLine="692"/>
        <w:jc w:val="both"/>
        <w:rPr>
          <w:b/>
          <w:sz w:val="4"/>
        </w:rPr>
      </w:pPr>
    </w:p>
    <w:p w:rsidR="007C262A" w:rsidRPr="00DF123F" w:rsidRDefault="007C262A" w:rsidP="00ED29B3">
      <w:pPr>
        <w:widowControl w:val="0"/>
        <w:spacing w:before="160" w:after="160"/>
        <w:ind w:firstLine="692"/>
        <w:jc w:val="both"/>
        <w:rPr>
          <w:b/>
        </w:rPr>
      </w:pPr>
      <w:r w:rsidRPr="00DF123F">
        <w:rPr>
          <w:b/>
        </w:rPr>
        <w:t>Điều 2. Xử lý chuyển tiếp</w:t>
      </w:r>
    </w:p>
    <w:p w:rsidR="00C005B4" w:rsidRPr="00DF123F" w:rsidRDefault="00EC1714" w:rsidP="00ED29B3">
      <w:pPr>
        <w:widowControl w:val="0"/>
        <w:spacing w:before="160" w:after="160"/>
        <w:ind w:firstLine="692"/>
        <w:jc w:val="both"/>
      </w:pPr>
      <w:r w:rsidRPr="00DF123F">
        <w:t xml:space="preserve">Đối với </w:t>
      </w:r>
      <w:r w:rsidR="00C005B4" w:rsidRPr="00DF123F">
        <w:t xml:space="preserve">dự toán kinh phí tổ chức thực hiện bồi thường, hỗ trợ, tái định cư đã được cơ quan nhà nước có thẩm quyền phê duyệt trước ngày </w:t>
      </w:r>
      <w:r w:rsidR="00C66364" w:rsidRPr="00DF123F">
        <w:t xml:space="preserve">Quyết định này có hiệu lực thi hành </w:t>
      </w:r>
      <w:r w:rsidR="00C005B4" w:rsidRPr="00DF123F">
        <w:t>thì tiếp tục thực hiện theo dự toán đã được phê duyệt.</w:t>
      </w:r>
    </w:p>
    <w:p w:rsidR="00F7194E" w:rsidRDefault="00F7194E" w:rsidP="00ED29B3">
      <w:pPr>
        <w:widowControl w:val="0"/>
        <w:spacing w:before="160" w:after="160"/>
        <w:ind w:firstLine="692"/>
        <w:jc w:val="both"/>
        <w:rPr>
          <w:b/>
        </w:rPr>
      </w:pPr>
    </w:p>
    <w:p w:rsidR="00FE7FC9" w:rsidRPr="00DF123F" w:rsidRDefault="004F1957" w:rsidP="00ED29B3">
      <w:pPr>
        <w:widowControl w:val="0"/>
        <w:spacing w:before="160" w:after="160"/>
        <w:ind w:firstLine="692"/>
        <w:jc w:val="both"/>
      </w:pPr>
      <w:r w:rsidRPr="00DF123F">
        <w:rPr>
          <w:b/>
        </w:rPr>
        <w:t xml:space="preserve">Điều </w:t>
      </w:r>
      <w:r w:rsidR="00EC1714" w:rsidRPr="00DF123F">
        <w:rPr>
          <w:b/>
        </w:rPr>
        <w:t>3</w:t>
      </w:r>
      <w:r w:rsidRPr="00DF123F">
        <w:rPr>
          <w:b/>
        </w:rPr>
        <w:t>.</w:t>
      </w:r>
      <w:r w:rsidRPr="00DF123F">
        <w:t xml:space="preserve"> </w:t>
      </w:r>
      <w:r w:rsidR="00836400" w:rsidRPr="00DF123F">
        <w:rPr>
          <w:b/>
        </w:rPr>
        <w:t>T</w:t>
      </w:r>
      <w:r w:rsidR="005C4947" w:rsidRPr="00DF123F">
        <w:rPr>
          <w:b/>
        </w:rPr>
        <w:t>ổ chức thực hiện</w:t>
      </w:r>
    </w:p>
    <w:p w:rsidR="00836400" w:rsidRPr="00DF123F" w:rsidRDefault="00836400" w:rsidP="00ED29B3">
      <w:pPr>
        <w:widowControl w:val="0"/>
        <w:spacing w:before="160" w:after="160"/>
        <w:ind w:firstLine="692"/>
        <w:jc w:val="both"/>
      </w:pPr>
      <w:r w:rsidRPr="00DF123F">
        <w:t>1. Các Tổ chức thực hiện bồi thường, hỗ trợ, tái định cư chịu trách nhiệm lập dự toán, sử dụng và thanh quyết toán kinh phí tổ chức thực hiện bồi thường, hỗ trợ, tái định cư theo quy định.</w:t>
      </w:r>
    </w:p>
    <w:p w:rsidR="00836400" w:rsidRPr="00DF123F" w:rsidRDefault="00836400" w:rsidP="00ED29B3">
      <w:pPr>
        <w:widowControl w:val="0"/>
        <w:spacing w:before="160" w:after="160"/>
        <w:ind w:firstLine="692"/>
        <w:jc w:val="both"/>
      </w:pPr>
      <w:r w:rsidRPr="00DF123F">
        <w:t>2. Giao Sở Tài chính theo dõi, hướng dẫn thực hiện và tham mưu bổ sung, sửa đổi khi có quy định mới của pháp luật.</w:t>
      </w:r>
    </w:p>
    <w:p w:rsidR="00836400" w:rsidRPr="00DF123F" w:rsidRDefault="00836400" w:rsidP="00ED29B3">
      <w:pPr>
        <w:widowControl w:val="0"/>
        <w:spacing w:before="160" w:after="160"/>
        <w:ind w:firstLine="692"/>
        <w:jc w:val="both"/>
      </w:pPr>
      <w:r w:rsidRPr="00DF123F">
        <w:tab/>
        <w:t>3. Trong quá trình thực hiện, nếu có vướng mắc đề nghị các cơ quan, tổ chức, đơn vị phản ánh kịp thời về Sở Tài chính để phối hợp giải quyết.</w:t>
      </w:r>
    </w:p>
    <w:p w:rsidR="00F7194E" w:rsidRPr="00F7194E" w:rsidRDefault="00F7194E" w:rsidP="00ED29B3">
      <w:pPr>
        <w:widowControl w:val="0"/>
        <w:spacing w:before="160" w:after="160"/>
        <w:ind w:firstLine="692"/>
        <w:jc w:val="both"/>
        <w:rPr>
          <w:b/>
          <w:sz w:val="8"/>
        </w:rPr>
      </w:pPr>
    </w:p>
    <w:p w:rsidR="00836400" w:rsidRPr="00DF123F" w:rsidRDefault="00836400" w:rsidP="00ED29B3">
      <w:pPr>
        <w:widowControl w:val="0"/>
        <w:spacing w:before="160" w:after="160"/>
        <w:ind w:firstLine="692"/>
        <w:jc w:val="both"/>
      </w:pPr>
      <w:r w:rsidRPr="00DF123F">
        <w:rPr>
          <w:b/>
        </w:rPr>
        <w:t>Điều 4.</w:t>
      </w:r>
      <w:r w:rsidRPr="00DF123F">
        <w:t xml:space="preserve"> </w:t>
      </w:r>
      <w:r w:rsidRPr="00DF123F">
        <w:rPr>
          <w:b/>
        </w:rPr>
        <w:t>Hiệu lực thi hành</w:t>
      </w:r>
    </w:p>
    <w:p w:rsidR="00963741" w:rsidRPr="00DF123F" w:rsidRDefault="00963741" w:rsidP="00ED29B3">
      <w:pPr>
        <w:spacing w:before="160" w:after="160" w:line="264" w:lineRule="auto"/>
        <w:ind w:firstLine="709"/>
        <w:jc w:val="both"/>
        <w:rPr>
          <w:iCs/>
        </w:rPr>
      </w:pPr>
      <w:r w:rsidRPr="00DF123F">
        <w:rPr>
          <w:iCs/>
          <w:lang w:val="vi-VN"/>
        </w:rPr>
        <w:t>Quyết định này có hiệu lực thi hành kể từ ngày</w:t>
      </w:r>
      <w:r w:rsidR="00124533">
        <w:rPr>
          <w:iCs/>
        </w:rPr>
        <w:t xml:space="preserve">    </w:t>
      </w:r>
      <w:r w:rsidRPr="00DF123F">
        <w:rPr>
          <w:iCs/>
        </w:rPr>
        <w:t xml:space="preserve"> </w:t>
      </w:r>
      <w:r w:rsidRPr="00DF123F">
        <w:rPr>
          <w:iCs/>
          <w:lang w:val="vi-VN"/>
        </w:rPr>
        <w:t>tháng</w:t>
      </w:r>
      <w:r w:rsidRPr="00DF123F">
        <w:rPr>
          <w:iCs/>
        </w:rPr>
        <w:t xml:space="preserve">     </w:t>
      </w:r>
      <w:r w:rsidRPr="00DF123F">
        <w:rPr>
          <w:iCs/>
          <w:lang w:val="vi-VN"/>
        </w:rPr>
        <w:t xml:space="preserve"> năm 2022.</w:t>
      </w:r>
    </w:p>
    <w:p w:rsidR="00836400" w:rsidRDefault="00963741" w:rsidP="00ED29B3">
      <w:pPr>
        <w:spacing w:before="160" w:after="160" w:line="264" w:lineRule="auto"/>
        <w:ind w:firstLine="709"/>
        <w:jc w:val="both"/>
      </w:pPr>
      <w:r w:rsidRPr="00DF123F">
        <w:t xml:space="preserve">Chánh Văn phòng Ủy ban nhân dân tỉnh; Giám đốc các Sở; Thủ trưởng các Ban, ngành thuộc </w:t>
      </w:r>
      <w:r w:rsidRPr="00DF123F">
        <w:rPr>
          <w:lang w:val="vi-VN"/>
        </w:rPr>
        <w:t xml:space="preserve">Ủy ban nhân dân </w:t>
      </w:r>
      <w:r w:rsidRPr="00DF123F">
        <w:t xml:space="preserve">tỉnh; </w:t>
      </w:r>
      <w:r w:rsidRPr="00DF123F">
        <w:rPr>
          <w:lang w:val="vi-VN"/>
        </w:rPr>
        <w:t xml:space="preserve">Giám đốc Kho Bạc Nhà nước tỉnh; </w:t>
      </w:r>
      <w:r w:rsidRPr="00DF123F">
        <w:t>Chủ tịch Ủy ban nhân dân các huyện, thành phố và Thủ trưởng các cơ quan, đơn vị có liên quan chịu trách nhiệm thi hành Quyết định này./.</w:t>
      </w:r>
    </w:p>
    <w:p w:rsidR="00F7194E" w:rsidRPr="00DF123F" w:rsidRDefault="00F7194E" w:rsidP="00ED29B3">
      <w:pPr>
        <w:spacing w:before="160" w:after="160" w:line="264" w:lineRule="auto"/>
        <w:ind w:firstLine="709"/>
        <w:jc w:val="both"/>
        <w:rPr>
          <w:iCs/>
          <w:lang w:val="vi-VN"/>
        </w:rPr>
      </w:pPr>
    </w:p>
    <w:tbl>
      <w:tblPr>
        <w:tblW w:w="9045" w:type="dxa"/>
        <w:jc w:val="center"/>
        <w:tblLook w:val="01E0" w:firstRow="1" w:lastRow="1" w:firstColumn="1" w:lastColumn="1" w:noHBand="0" w:noVBand="0"/>
      </w:tblPr>
      <w:tblGrid>
        <w:gridCol w:w="4793"/>
        <w:gridCol w:w="4252"/>
      </w:tblGrid>
      <w:tr w:rsidR="004F1957" w:rsidRPr="00DF123F" w:rsidTr="00C5536E">
        <w:trPr>
          <w:trHeight w:val="1958"/>
          <w:jc w:val="center"/>
        </w:trPr>
        <w:tc>
          <w:tcPr>
            <w:tcW w:w="4793" w:type="dxa"/>
          </w:tcPr>
          <w:p w:rsidR="004F1957" w:rsidRPr="00DF123F" w:rsidRDefault="004F1957" w:rsidP="004F1957">
            <w:pPr>
              <w:widowControl w:val="0"/>
              <w:rPr>
                <w:b/>
                <w:i/>
                <w:sz w:val="24"/>
                <w:szCs w:val="24"/>
              </w:rPr>
            </w:pPr>
            <w:r w:rsidRPr="00DF123F">
              <w:rPr>
                <w:b/>
                <w:i/>
                <w:sz w:val="24"/>
                <w:szCs w:val="24"/>
              </w:rPr>
              <w:t xml:space="preserve">Nơi nhận: </w:t>
            </w:r>
          </w:p>
          <w:p w:rsidR="004F1957" w:rsidRPr="00DF123F" w:rsidRDefault="004F1957" w:rsidP="004F1957">
            <w:pPr>
              <w:widowControl w:val="0"/>
              <w:rPr>
                <w:sz w:val="22"/>
                <w:szCs w:val="22"/>
              </w:rPr>
            </w:pPr>
            <w:r w:rsidRPr="00DF123F">
              <w:rPr>
                <w:sz w:val="22"/>
                <w:szCs w:val="22"/>
              </w:rPr>
              <w:t xml:space="preserve">- Như Điều </w:t>
            </w:r>
            <w:r w:rsidR="00C7171F" w:rsidRPr="00DF123F">
              <w:rPr>
                <w:sz w:val="22"/>
                <w:szCs w:val="22"/>
              </w:rPr>
              <w:t>4</w:t>
            </w:r>
            <w:r w:rsidRPr="00DF123F">
              <w:rPr>
                <w:sz w:val="22"/>
                <w:szCs w:val="22"/>
              </w:rPr>
              <w:t>;</w:t>
            </w:r>
          </w:p>
          <w:p w:rsidR="00FE556A" w:rsidRPr="00DF123F" w:rsidRDefault="00FE556A" w:rsidP="004F1957">
            <w:pPr>
              <w:widowControl w:val="0"/>
              <w:rPr>
                <w:sz w:val="22"/>
                <w:szCs w:val="22"/>
              </w:rPr>
            </w:pPr>
            <w:r w:rsidRPr="00DF123F">
              <w:rPr>
                <w:sz w:val="22"/>
                <w:szCs w:val="22"/>
              </w:rPr>
              <w:t>- Văn phòng Chính phủ</w:t>
            </w:r>
            <w:r w:rsidR="00F7194E">
              <w:rPr>
                <w:sz w:val="22"/>
                <w:szCs w:val="22"/>
              </w:rPr>
              <w:t xml:space="preserve"> (báo cáo)</w:t>
            </w:r>
            <w:r w:rsidRPr="00DF123F">
              <w:rPr>
                <w:sz w:val="22"/>
                <w:szCs w:val="22"/>
              </w:rPr>
              <w:t>;</w:t>
            </w:r>
          </w:p>
          <w:p w:rsidR="004F1957" w:rsidRPr="00DF123F" w:rsidRDefault="004F1957" w:rsidP="004F1957">
            <w:pPr>
              <w:widowControl w:val="0"/>
              <w:rPr>
                <w:sz w:val="22"/>
                <w:szCs w:val="22"/>
              </w:rPr>
            </w:pPr>
            <w:r w:rsidRPr="00DF123F">
              <w:rPr>
                <w:sz w:val="22"/>
                <w:szCs w:val="22"/>
              </w:rPr>
              <w:t>- Vụ Pháp chế - Bộ Tài chính;</w:t>
            </w:r>
          </w:p>
          <w:p w:rsidR="00FE556A" w:rsidRPr="00DF123F" w:rsidRDefault="00FE556A" w:rsidP="004F1957">
            <w:pPr>
              <w:widowControl w:val="0"/>
              <w:rPr>
                <w:sz w:val="22"/>
                <w:szCs w:val="22"/>
              </w:rPr>
            </w:pPr>
            <w:r w:rsidRPr="00DF123F">
              <w:rPr>
                <w:sz w:val="22"/>
                <w:szCs w:val="22"/>
              </w:rPr>
              <w:t>- Vụ Pháp chế - Bộ Tài nguyên và Môi trường;</w:t>
            </w:r>
          </w:p>
          <w:p w:rsidR="004F1957" w:rsidRPr="00DF123F" w:rsidRDefault="004F1957" w:rsidP="004F1957">
            <w:pPr>
              <w:widowControl w:val="0"/>
              <w:rPr>
                <w:sz w:val="22"/>
                <w:szCs w:val="22"/>
              </w:rPr>
            </w:pPr>
            <w:r w:rsidRPr="00DF123F">
              <w:rPr>
                <w:sz w:val="22"/>
                <w:szCs w:val="22"/>
              </w:rPr>
              <w:t>- Cục Kiểm tra văn bản QPPL – Bộ Tư pháp;</w:t>
            </w:r>
          </w:p>
          <w:p w:rsidR="004F1957" w:rsidRPr="00DF123F" w:rsidRDefault="004F1957" w:rsidP="004F1957">
            <w:pPr>
              <w:widowControl w:val="0"/>
              <w:rPr>
                <w:sz w:val="22"/>
                <w:szCs w:val="22"/>
              </w:rPr>
            </w:pPr>
            <w:r w:rsidRPr="00DF123F">
              <w:rPr>
                <w:sz w:val="22"/>
                <w:szCs w:val="22"/>
              </w:rPr>
              <w:t>- Thường trực: Tỉnh ủy, HĐND tỉnh</w:t>
            </w:r>
            <w:r w:rsidR="00F7194E">
              <w:rPr>
                <w:sz w:val="22"/>
                <w:szCs w:val="22"/>
              </w:rPr>
              <w:t xml:space="preserve"> </w:t>
            </w:r>
            <w:r w:rsidR="00F7194E">
              <w:rPr>
                <w:sz w:val="22"/>
                <w:szCs w:val="22"/>
              </w:rPr>
              <w:t>(báo cáo)</w:t>
            </w:r>
            <w:bookmarkStart w:id="0" w:name="_GoBack"/>
            <w:bookmarkEnd w:id="0"/>
            <w:r w:rsidRPr="00DF123F">
              <w:rPr>
                <w:sz w:val="22"/>
                <w:szCs w:val="22"/>
              </w:rPr>
              <w:t>;</w:t>
            </w:r>
          </w:p>
          <w:p w:rsidR="004F1957" w:rsidRPr="00DF123F" w:rsidRDefault="004F1957" w:rsidP="004F1957">
            <w:pPr>
              <w:widowControl w:val="0"/>
              <w:rPr>
                <w:sz w:val="22"/>
                <w:szCs w:val="22"/>
              </w:rPr>
            </w:pPr>
            <w:r w:rsidRPr="00DF123F">
              <w:rPr>
                <w:sz w:val="22"/>
                <w:szCs w:val="22"/>
              </w:rPr>
              <w:t>- Chủ tịch, các PCT UBND tỉnh;</w:t>
            </w:r>
          </w:p>
          <w:p w:rsidR="00FE556A" w:rsidRPr="00DF123F" w:rsidRDefault="00FE556A" w:rsidP="004F1957">
            <w:pPr>
              <w:widowControl w:val="0"/>
              <w:rPr>
                <w:sz w:val="22"/>
                <w:szCs w:val="22"/>
              </w:rPr>
            </w:pPr>
            <w:r w:rsidRPr="00DF123F">
              <w:rPr>
                <w:sz w:val="22"/>
                <w:szCs w:val="22"/>
              </w:rPr>
              <w:t>- Đoàn ĐBQH tỉnh;</w:t>
            </w:r>
          </w:p>
          <w:p w:rsidR="00FE556A" w:rsidRPr="00DF123F" w:rsidRDefault="00FE556A" w:rsidP="004F1957">
            <w:pPr>
              <w:widowControl w:val="0"/>
              <w:rPr>
                <w:sz w:val="22"/>
                <w:szCs w:val="22"/>
              </w:rPr>
            </w:pPr>
            <w:r w:rsidRPr="00DF123F">
              <w:rPr>
                <w:sz w:val="22"/>
                <w:szCs w:val="22"/>
              </w:rPr>
              <w:t>- Thường trực HĐND các huyện, thành phố;</w:t>
            </w:r>
          </w:p>
          <w:p w:rsidR="004F1957" w:rsidRPr="00DF123F" w:rsidRDefault="004F1957" w:rsidP="004F1957">
            <w:pPr>
              <w:widowControl w:val="0"/>
              <w:rPr>
                <w:sz w:val="22"/>
                <w:szCs w:val="22"/>
              </w:rPr>
            </w:pPr>
            <w:r w:rsidRPr="00DF123F">
              <w:rPr>
                <w:sz w:val="22"/>
                <w:szCs w:val="22"/>
              </w:rPr>
              <w:t>- Cổng Thông tin điện tử tỉnh;</w:t>
            </w:r>
          </w:p>
          <w:p w:rsidR="004F1957" w:rsidRPr="00DF123F" w:rsidRDefault="004F1957" w:rsidP="004F1957">
            <w:pPr>
              <w:widowControl w:val="0"/>
              <w:rPr>
                <w:sz w:val="22"/>
                <w:szCs w:val="22"/>
              </w:rPr>
            </w:pPr>
            <w:r w:rsidRPr="00DF123F">
              <w:rPr>
                <w:sz w:val="22"/>
                <w:szCs w:val="22"/>
              </w:rPr>
              <w:t>- Trung tâm Công nghệ thông tin và Truyền thông;</w:t>
            </w:r>
          </w:p>
          <w:p w:rsidR="004F1957" w:rsidRPr="00DF123F" w:rsidRDefault="002B24E2" w:rsidP="004F1957">
            <w:pPr>
              <w:widowControl w:val="0"/>
              <w:rPr>
                <w:sz w:val="22"/>
                <w:szCs w:val="22"/>
              </w:rPr>
            </w:pPr>
            <w:r>
              <w:rPr>
                <w:sz w:val="22"/>
                <w:szCs w:val="22"/>
              </w:rPr>
              <w:t>- VPUB: LĐ,</w:t>
            </w:r>
            <w:r w:rsidRPr="00DF123F">
              <w:rPr>
                <w:sz w:val="22"/>
                <w:szCs w:val="22"/>
              </w:rPr>
              <w:t xml:space="preserve"> KTTH</w:t>
            </w:r>
            <w:r w:rsidR="004F1957" w:rsidRPr="00DF123F">
              <w:rPr>
                <w:sz w:val="22"/>
                <w:szCs w:val="22"/>
              </w:rPr>
              <w:t>;</w:t>
            </w:r>
          </w:p>
          <w:p w:rsidR="004F1957" w:rsidRPr="00DF123F" w:rsidRDefault="002B24E2" w:rsidP="002B24E2">
            <w:pPr>
              <w:widowControl w:val="0"/>
              <w:ind w:right="-1170"/>
              <w:rPr>
                <w:sz w:val="22"/>
                <w:szCs w:val="22"/>
                <w:lang w:val="af-ZA"/>
              </w:rPr>
            </w:pPr>
            <w:r>
              <w:rPr>
                <w:sz w:val="22"/>
                <w:szCs w:val="22"/>
              </w:rPr>
              <w:t>- Lưu: VT</w:t>
            </w:r>
            <w:r w:rsidR="004F1957" w:rsidRPr="00DF123F">
              <w:rPr>
                <w:sz w:val="22"/>
                <w:szCs w:val="22"/>
              </w:rPr>
              <w:t>.</w:t>
            </w:r>
            <w:r w:rsidR="004F1957" w:rsidRPr="00DF123F">
              <w:rPr>
                <w:b/>
                <w:i/>
                <w:sz w:val="24"/>
                <w:szCs w:val="24"/>
              </w:rPr>
              <w:t xml:space="preserve">             </w:t>
            </w:r>
            <w:r w:rsidR="004F1957" w:rsidRPr="00DF123F">
              <w:rPr>
                <w:sz w:val="22"/>
                <w:szCs w:val="22"/>
                <w:lang w:val="af-ZA"/>
              </w:rPr>
              <w:t xml:space="preserve">          </w:t>
            </w:r>
          </w:p>
        </w:tc>
        <w:tc>
          <w:tcPr>
            <w:tcW w:w="4252" w:type="dxa"/>
          </w:tcPr>
          <w:p w:rsidR="004F1957" w:rsidRPr="00DF123F" w:rsidRDefault="004F1957" w:rsidP="004F1957">
            <w:pPr>
              <w:keepNext/>
              <w:widowControl w:val="0"/>
              <w:jc w:val="center"/>
              <w:outlineLvl w:val="1"/>
              <w:rPr>
                <w:b/>
                <w:lang w:val="vi-VN" w:eastAsia="vi-VN"/>
              </w:rPr>
            </w:pPr>
            <w:r w:rsidRPr="00DF123F">
              <w:rPr>
                <w:b/>
                <w:lang w:val="vi-VN" w:eastAsia="vi-VN"/>
              </w:rPr>
              <w:t>TM. ỦY BAN NHÂN DÂN</w:t>
            </w:r>
          </w:p>
          <w:p w:rsidR="004F1957" w:rsidRPr="00DF123F" w:rsidRDefault="004F1957" w:rsidP="004F1957">
            <w:pPr>
              <w:keepNext/>
              <w:widowControl w:val="0"/>
              <w:jc w:val="center"/>
              <w:outlineLvl w:val="1"/>
              <w:rPr>
                <w:b/>
                <w:lang w:val="vi-VN" w:eastAsia="vi-VN"/>
              </w:rPr>
            </w:pPr>
            <w:r w:rsidRPr="00DF123F">
              <w:rPr>
                <w:b/>
                <w:lang w:val="vi-VN" w:eastAsia="vi-VN"/>
              </w:rPr>
              <w:t>KT. CHỦ TỊCH</w:t>
            </w:r>
          </w:p>
          <w:p w:rsidR="004F1957" w:rsidRPr="00DF123F" w:rsidRDefault="004F1957" w:rsidP="004F1957">
            <w:pPr>
              <w:widowControl w:val="0"/>
              <w:jc w:val="center"/>
              <w:rPr>
                <w:lang w:val="vi-VN" w:eastAsia="vi-VN"/>
              </w:rPr>
            </w:pPr>
            <w:r w:rsidRPr="00DF123F">
              <w:rPr>
                <w:b/>
                <w:lang w:val="vi-VN"/>
              </w:rPr>
              <w:t>PHÓ CHỦ TỊCH</w:t>
            </w:r>
          </w:p>
          <w:p w:rsidR="004F1957" w:rsidRPr="00DF123F" w:rsidRDefault="004F1957" w:rsidP="004F1957">
            <w:pPr>
              <w:widowControl w:val="0"/>
              <w:jc w:val="center"/>
              <w:rPr>
                <w:lang w:eastAsia="vi-VN"/>
              </w:rPr>
            </w:pPr>
          </w:p>
          <w:p w:rsidR="004F1957" w:rsidRPr="00DF123F" w:rsidRDefault="004F1957" w:rsidP="004F1957">
            <w:pPr>
              <w:widowControl w:val="0"/>
              <w:jc w:val="center"/>
              <w:rPr>
                <w:lang w:eastAsia="vi-VN"/>
              </w:rPr>
            </w:pPr>
          </w:p>
          <w:p w:rsidR="004F1957" w:rsidRPr="00DF123F" w:rsidRDefault="004F1957" w:rsidP="004F1957">
            <w:pPr>
              <w:widowControl w:val="0"/>
              <w:jc w:val="center"/>
              <w:rPr>
                <w:lang w:eastAsia="vi-VN"/>
              </w:rPr>
            </w:pPr>
          </w:p>
          <w:p w:rsidR="004F1957" w:rsidRDefault="004F1957" w:rsidP="004F1957">
            <w:pPr>
              <w:widowControl w:val="0"/>
              <w:jc w:val="center"/>
              <w:rPr>
                <w:lang w:eastAsia="vi-VN"/>
              </w:rPr>
            </w:pPr>
          </w:p>
          <w:p w:rsidR="002B24E2" w:rsidRPr="00DF123F" w:rsidRDefault="002B24E2" w:rsidP="004F1957">
            <w:pPr>
              <w:widowControl w:val="0"/>
              <w:jc w:val="center"/>
              <w:rPr>
                <w:lang w:eastAsia="vi-VN"/>
              </w:rPr>
            </w:pPr>
          </w:p>
          <w:p w:rsidR="004F1957" w:rsidRPr="00DF123F" w:rsidRDefault="004F1957" w:rsidP="004F1957">
            <w:pPr>
              <w:widowControl w:val="0"/>
              <w:jc w:val="center"/>
              <w:rPr>
                <w:lang w:eastAsia="vi-VN"/>
              </w:rPr>
            </w:pPr>
          </w:p>
          <w:p w:rsidR="004F1957" w:rsidRPr="002B24E2" w:rsidRDefault="002B24E2" w:rsidP="004F1957">
            <w:pPr>
              <w:widowControl w:val="0"/>
              <w:jc w:val="center"/>
              <w:rPr>
                <w:b/>
                <w:lang w:eastAsia="vi-VN"/>
              </w:rPr>
            </w:pPr>
            <w:r w:rsidRPr="002B24E2">
              <w:rPr>
                <w:b/>
                <w:lang w:eastAsia="vi-VN"/>
              </w:rPr>
              <w:t>Lê Huyền</w:t>
            </w:r>
          </w:p>
          <w:p w:rsidR="004F1957" w:rsidRPr="00DF123F" w:rsidRDefault="004F1957" w:rsidP="004F1957">
            <w:pPr>
              <w:widowControl w:val="0"/>
              <w:jc w:val="center"/>
              <w:rPr>
                <w:b/>
                <w:lang w:eastAsia="vi-VN"/>
              </w:rPr>
            </w:pPr>
          </w:p>
        </w:tc>
      </w:tr>
    </w:tbl>
    <w:p w:rsidR="00654948" w:rsidRPr="00DF123F" w:rsidRDefault="00654948" w:rsidP="00AD5726">
      <w:pPr>
        <w:widowControl w:val="0"/>
        <w:rPr>
          <w:bdr w:val="single" w:sz="4" w:space="0" w:color="auto"/>
        </w:rPr>
      </w:pPr>
    </w:p>
    <w:sectPr w:rsidR="00654948" w:rsidRPr="00DF123F" w:rsidSect="009B3A05">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DE" w:rsidRDefault="00E166DE" w:rsidP="00CF26E8">
      <w:r>
        <w:separator/>
      </w:r>
    </w:p>
  </w:endnote>
  <w:endnote w:type="continuationSeparator" w:id="0">
    <w:p w:rsidR="00E166DE" w:rsidRDefault="00E166DE" w:rsidP="00CF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DE" w:rsidRDefault="00E166DE" w:rsidP="00CF26E8">
      <w:r>
        <w:separator/>
      </w:r>
    </w:p>
  </w:footnote>
  <w:footnote w:type="continuationSeparator" w:id="0">
    <w:p w:rsidR="00E166DE" w:rsidRDefault="00E166DE" w:rsidP="00CF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4" w:rsidRPr="00266C7C" w:rsidRDefault="009F70B4">
    <w:pPr>
      <w:pStyle w:val="Header"/>
      <w:jc w:val="center"/>
      <w:rPr>
        <w:sz w:val="24"/>
        <w:szCs w:val="24"/>
      </w:rPr>
    </w:pPr>
    <w:r w:rsidRPr="00266C7C">
      <w:rPr>
        <w:sz w:val="24"/>
        <w:szCs w:val="24"/>
      </w:rPr>
      <w:fldChar w:fldCharType="begin"/>
    </w:r>
    <w:r w:rsidRPr="00266C7C">
      <w:rPr>
        <w:sz w:val="24"/>
        <w:szCs w:val="24"/>
      </w:rPr>
      <w:instrText xml:space="preserve"> PAGE   \* MERGEFORMAT </w:instrText>
    </w:r>
    <w:r w:rsidRPr="00266C7C">
      <w:rPr>
        <w:sz w:val="24"/>
        <w:szCs w:val="24"/>
      </w:rPr>
      <w:fldChar w:fldCharType="separate"/>
    </w:r>
    <w:r w:rsidR="00F7194E">
      <w:rPr>
        <w:noProof/>
        <w:sz w:val="24"/>
        <w:szCs w:val="24"/>
      </w:rPr>
      <w:t>3</w:t>
    </w:r>
    <w:r w:rsidRPr="00266C7C">
      <w:rPr>
        <w:noProof/>
        <w:sz w:val="24"/>
        <w:szCs w:val="24"/>
      </w:rPr>
      <w:fldChar w:fldCharType="end"/>
    </w:r>
  </w:p>
  <w:p w:rsidR="009F70B4" w:rsidRDefault="009F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1"/>
    <w:rsid w:val="000406EF"/>
    <w:rsid w:val="0004651B"/>
    <w:rsid w:val="00057C95"/>
    <w:rsid w:val="00061206"/>
    <w:rsid w:val="00066622"/>
    <w:rsid w:val="00092D04"/>
    <w:rsid w:val="000A28A1"/>
    <w:rsid w:val="000A723C"/>
    <w:rsid w:val="000B16D9"/>
    <w:rsid w:val="000B7271"/>
    <w:rsid w:val="000C20AE"/>
    <w:rsid w:val="000C7A9E"/>
    <w:rsid w:val="000D5135"/>
    <w:rsid w:val="000E5991"/>
    <w:rsid w:val="001219D0"/>
    <w:rsid w:val="00124533"/>
    <w:rsid w:val="001410C8"/>
    <w:rsid w:val="00156F56"/>
    <w:rsid w:val="00164288"/>
    <w:rsid w:val="0016488A"/>
    <w:rsid w:val="00191E7C"/>
    <w:rsid w:val="001A43FD"/>
    <w:rsid w:val="001B3E50"/>
    <w:rsid w:val="001B708D"/>
    <w:rsid w:val="001D2884"/>
    <w:rsid w:val="001E2402"/>
    <w:rsid w:val="001E2902"/>
    <w:rsid w:val="001E2D9D"/>
    <w:rsid w:val="00201F51"/>
    <w:rsid w:val="00203DA3"/>
    <w:rsid w:val="00226A09"/>
    <w:rsid w:val="00226AB7"/>
    <w:rsid w:val="002470C8"/>
    <w:rsid w:val="00250EAE"/>
    <w:rsid w:val="00255FB8"/>
    <w:rsid w:val="00266C7C"/>
    <w:rsid w:val="002860C3"/>
    <w:rsid w:val="0028684F"/>
    <w:rsid w:val="00291A8D"/>
    <w:rsid w:val="00293364"/>
    <w:rsid w:val="002B24E2"/>
    <w:rsid w:val="002C538D"/>
    <w:rsid w:val="002D34A6"/>
    <w:rsid w:val="002D365B"/>
    <w:rsid w:val="002D4EC1"/>
    <w:rsid w:val="002D62BE"/>
    <w:rsid w:val="002F2BD0"/>
    <w:rsid w:val="00310691"/>
    <w:rsid w:val="00323921"/>
    <w:rsid w:val="00330978"/>
    <w:rsid w:val="003613BA"/>
    <w:rsid w:val="00361F4F"/>
    <w:rsid w:val="0038565E"/>
    <w:rsid w:val="0038790A"/>
    <w:rsid w:val="003879E5"/>
    <w:rsid w:val="003B4C62"/>
    <w:rsid w:val="003C2579"/>
    <w:rsid w:val="003D0A05"/>
    <w:rsid w:val="003E16AA"/>
    <w:rsid w:val="004059A9"/>
    <w:rsid w:val="00417D7C"/>
    <w:rsid w:val="004263F8"/>
    <w:rsid w:val="00436E78"/>
    <w:rsid w:val="00454A13"/>
    <w:rsid w:val="004560A5"/>
    <w:rsid w:val="004665EF"/>
    <w:rsid w:val="00470BA2"/>
    <w:rsid w:val="0047257F"/>
    <w:rsid w:val="00487884"/>
    <w:rsid w:val="00492388"/>
    <w:rsid w:val="004A684F"/>
    <w:rsid w:val="004B5010"/>
    <w:rsid w:val="004B6626"/>
    <w:rsid w:val="004C48EF"/>
    <w:rsid w:val="004C4A3C"/>
    <w:rsid w:val="004E566B"/>
    <w:rsid w:val="004E640A"/>
    <w:rsid w:val="004F1957"/>
    <w:rsid w:val="0054441C"/>
    <w:rsid w:val="00563982"/>
    <w:rsid w:val="00564FFF"/>
    <w:rsid w:val="00571476"/>
    <w:rsid w:val="00574C8D"/>
    <w:rsid w:val="00575514"/>
    <w:rsid w:val="0058215C"/>
    <w:rsid w:val="00585D38"/>
    <w:rsid w:val="0059537B"/>
    <w:rsid w:val="005A1A0E"/>
    <w:rsid w:val="005A7934"/>
    <w:rsid w:val="005B0998"/>
    <w:rsid w:val="005B709B"/>
    <w:rsid w:val="005C3939"/>
    <w:rsid w:val="005C4947"/>
    <w:rsid w:val="005D3621"/>
    <w:rsid w:val="005F54E8"/>
    <w:rsid w:val="006140EF"/>
    <w:rsid w:val="00625A60"/>
    <w:rsid w:val="00640E88"/>
    <w:rsid w:val="00654948"/>
    <w:rsid w:val="00655846"/>
    <w:rsid w:val="00661220"/>
    <w:rsid w:val="0066444A"/>
    <w:rsid w:val="00665759"/>
    <w:rsid w:val="006659E2"/>
    <w:rsid w:val="00685A62"/>
    <w:rsid w:val="006A0EC8"/>
    <w:rsid w:val="006C36B3"/>
    <w:rsid w:val="006C6114"/>
    <w:rsid w:val="006D6213"/>
    <w:rsid w:val="006E002D"/>
    <w:rsid w:val="006E6E88"/>
    <w:rsid w:val="00714A79"/>
    <w:rsid w:val="007156B0"/>
    <w:rsid w:val="0073517C"/>
    <w:rsid w:val="00735ABE"/>
    <w:rsid w:val="00736723"/>
    <w:rsid w:val="0074692A"/>
    <w:rsid w:val="00752FB8"/>
    <w:rsid w:val="00760C38"/>
    <w:rsid w:val="0076738E"/>
    <w:rsid w:val="00794BB6"/>
    <w:rsid w:val="007A1945"/>
    <w:rsid w:val="007A68AE"/>
    <w:rsid w:val="007B264C"/>
    <w:rsid w:val="007C262A"/>
    <w:rsid w:val="007C626F"/>
    <w:rsid w:val="007E4C08"/>
    <w:rsid w:val="007E4C34"/>
    <w:rsid w:val="007F39E0"/>
    <w:rsid w:val="00801C46"/>
    <w:rsid w:val="00813F97"/>
    <w:rsid w:val="00827CED"/>
    <w:rsid w:val="00836400"/>
    <w:rsid w:val="00837801"/>
    <w:rsid w:val="00837B1A"/>
    <w:rsid w:val="00840E6E"/>
    <w:rsid w:val="00841FFB"/>
    <w:rsid w:val="008563E3"/>
    <w:rsid w:val="008614C3"/>
    <w:rsid w:val="0086406B"/>
    <w:rsid w:val="00870770"/>
    <w:rsid w:val="0087229E"/>
    <w:rsid w:val="00872B65"/>
    <w:rsid w:val="00873E3B"/>
    <w:rsid w:val="00874F22"/>
    <w:rsid w:val="008811CD"/>
    <w:rsid w:val="00883918"/>
    <w:rsid w:val="0088790D"/>
    <w:rsid w:val="0089081F"/>
    <w:rsid w:val="008A2339"/>
    <w:rsid w:val="008A430A"/>
    <w:rsid w:val="008A649D"/>
    <w:rsid w:val="008B6490"/>
    <w:rsid w:val="008B7DC7"/>
    <w:rsid w:val="008C32DD"/>
    <w:rsid w:val="008E00E0"/>
    <w:rsid w:val="008E0E91"/>
    <w:rsid w:val="008E5D35"/>
    <w:rsid w:val="008E62DD"/>
    <w:rsid w:val="0090414B"/>
    <w:rsid w:val="00905264"/>
    <w:rsid w:val="00905774"/>
    <w:rsid w:val="009065AA"/>
    <w:rsid w:val="00907B93"/>
    <w:rsid w:val="009106EB"/>
    <w:rsid w:val="0091568E"/>
    <w:rsid w:val="00933A9C"/>
    <w:rsid w:val="00936FDC"/>
    <w:rsid w:val="0094555F"/>
    <w:rsid w:val="009613DB"/>
    <w:rsid w:val="00963741"/>
    <w:rsid w:val="0099394A"/>
    <w:rsid w:val="009B2477"/>
    <w:rsid w:val="009B3A05"/>
    <w:rsid w:val="009B62AD"/>
    <w:rsid w:val="009E13E2"/>
    <w:rsid w:val="009E2972"/>
    <w:rsid w:val="009E427C"/>
    <w:rsid w:val="009F5290"/>
    <w:rsid w:val="009F6532"/>
    <w:rsid w:val="009F70B4"/>
    <w:rsid w:val="00A00BAF"/>
    <w:rsid w:val="00A0301C"/>
    <w:rsid w:val="00A109E0"/>
    <w:rsid w:val="00A37A5E"/>
    <w:rsid w:val="00A47750"/>
    <w:rsid w:val="00A52317"/>
    <w:rsid w:val="00A66C01"/>
    <w:rsid w:val="00A85835"/>
    <w:rsid w:val="00A876CD"/>
    <w:rsid w:val="00A94914"/>
    <w:rsid w:val="00AA7A7E"/>
    <w:rsid w:val="00AB0B1A"/>
    <w:rsid w:val="00AB0BCB"/>
    <w:rsid w:val="00AB5717"/>
    <w:rsid w:val="00AB6F2C"/>
    <w:rsid w:val="00AC026D"/>
    <w:rsid w:val="00AC7C65"/>
    <w:rsid w:val="00AD5726"/>
    <w:rsid w:val="00AE1C60"/>
    <w:rsid w:val="00AE3DD5"/>
    <w:rsid w:val="00AF3F3D"/>
    <w:rsid w:val="00B16869"/>
    <w:rsid w:val="00B24A33"/>
    <w:rsid w:val="00B31DF3"/>
    <w:rsid w:val="00B70337"/>
    <w:rsid w:val="00B74B4B"/>
    <w:rsid w:val="00B91B10"/>
    <w:rsid w:val="00B95C57"/>
    <w:rsid w:val="00B96118"/>
    <w:rsid w:val="00BA2CFC"/>
    <w:rsid w:val="00BB3A7D"/>
    <w:rsid w:val="00BE25DC"/>
    <w:rsid w:val="00BE5484"/>
    <w:rsid w:val="00BF32FA"/>
    <w:rsid w:val="00C005B4"/>
    <w:rsid w:val="00C017F9"/>
    <w:rsid w:val="00C123EF"/>
    <w:rsid w:val="00C1639E"/>
    <w:rsid w:val="00C260FA"/>
    <w:rsid w:val="00C327A7"/>
    <w:rsid w:val="00C432E5"/>
    <w:rsid w:val="00C43367"/>
    <w:rsid w:val="00C628B7"/>
    <w:rsid w:val="00C6470A"/>
    <w:rsid w:val="00C66364"/>
    <w:rsid w:val="00C6683A"/>
    <w:rsid w:val="00C66961"/>
    <w:rsid w:val="00C7171F"/>
    <w:rsid w:val="00C83ACA"/>
    <w:rsid w:val="00CA0708"/>
    <w:rsid w:val="00CA2B98"/>
    <w:rsid w:val="00CB0E94"/>
    <w:rsid w:val="00CC2A70"/>
    <w:rsid w:val="00CC3774"/>
    <w:rsid w:val="00CF2253"/>
    <w:rsid w:val="00CF26E8"/>
    <w:rsid w:val="00CF3F83"/>
    <w:rsid w:val="00CF7A15"/>
    <w:rsid w:val="00D07357"/>
    <w:rsid w:val="00D12CA2"/>
    <w:rsid w:val="00D24CEB"/>
    <w:rsid w:val="00D419C0"/>
    <w:rsid w:val="00D80B66"/>
    <w:rsid w:val="00D95421"/>
    <w:rsid w:val="00DC0895"/>
    <w:rsid w:val="00DC09AD"/>
    <w:rsid w:val="00DD6B31"/>
    <w:rsid w:val="00DE47F0"/>
    <w:rsid w:val="00DE7DFA"/>
    <w:rsid w:val="00DF123F"/>
    <w:rsid w:val="00DF528E"/>
    <w:rsid w:val="00E166DE"/>
    <w:rsid w:val="00E169C6"/>
    <w:rsid w:val="00E22D0A"/>
    <w:rsid w:val="00E30A63"/>
    <w:rsid w:val="00E37C7B"/>
    <w:rsid w:val="00E40789"/>
    <w:rsid w:val="00E436D5"/>
    <w:rsid w:val="00E6164E"/>
    <w:rsid w:val="00E623F5"/>
    <w:rsid w:val="00E86933"/>
    <w:rsid w:val="00EA118A"/>
    <w:rsid w:val="00EB31C3"/>
    <w:rsid w:val="00EB4C2D"/>
    <w:rsid w:val="00EB6F2C"/>
    <w:rsid w:val="00EB746C"/>
    <w:rsid w:val="00EC1714"/>
    <w:rsid w:val="00ED2014"/>
    <w:rsid w:val="00ED29B3"/>
    <w:rsid w:val="00EE2BFB"/>
    <w:rsid w:val="00EF0E34"/>
    <w:rsid w:val="00EF514C"/>
    <w:rsid w:val="00F01C47"/>
    <w:rsid w:val="00F03B2E"/>
    <w:rsid w:val="00F16F18"/>
    <w:rsid w:val="00F2593E"/>
    <w:rsid w:val="00F3124E"/>
    <w:rsid w:val="00F42EE0"/>
    <w:rsid w:val="00F45FCA"/>
    <w:rsid w:val="00F47213"/>
    <w:rsid w:val="00F549B9"/>
    <w:rsid w:val="00F55DD0"/>
    <w:rsid w:val="00F71948"/>
    <w:rsid w:val="00F7194E"/>
    <w:rsid w:val="00F9379C"/>
    <w:rsid w:val="00FB318D"/>
    <w:rsid w:val="00FE556A"/>
    <w:rsid w:val="00FE7FC9"/>
    <w:rsid w:val="00FF42D0"/>
    <w:rsid w:val="00FF4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01"/>
    <w:rPr>
      <w:rFonts w:ascii="Times New Roman" w:eastAsia="Times New Roman" w:hAnsi="Times New Roman"/>
      <w:sz w:val="28"/>
      <w:szCs w:val="28"/>
    </w:rPr>
  </w:style>
  <w:style w:type="paragraph" w:styleId="Heading2">
    <w:name w:val="heading 2"/>
    <w:basedOn w:val="Normal"/>
    <w:next w:val="Normal"/>
    <w:link w:val="Heading2Char"/>
    <w:qFormat/>
    <w:rsid w:val="00A66C01"/>
    <w:pPr>
      <w:keepNext/>
      <w:jc w:val="center"/>
      <w:outlineLvl w:val="1"/>
    </w:pPr>
    <w:rPr>
      <w:rFonts w:ascii=".VnTime" w:hAnsi=".VnTime"/>
      <w:b/>
      <w:i/>
      <w:sz w:val="26"/>
      <w:szCs w:val="20"/>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66C01"/>
    <w:pPr>
      <w:ind w:left="720" w:right="-107"/>
      <w:jc w:val="both"/>
    </w:pPr>
    <w:rPr>
      <w:rFonts w:ascii=".VnTime" w:hAnsi=".VnTime"/>
      <w:bCs/>
      <w:color w:val="FF6600"/>
      <w:szCs w:val="20"/>
    </w:rPr>
  </w:style>
  <w:style w:type="paragraph" w:styleId="NormalWeb">
    <w:name w:val="Normal (Web)"/>
    <w:aliases w:val="Normal (Web) Char"/>
    <w:basedOn w:val="Normal"/>
    <w:link w:val="NormalWebChar1"/>
    <w:rsid w:val="00A66C01"/>
    <w:pPr>
      <w:spacing w:before="100" w:beforeAutospacing="1" w:after="100" w:afterAutospacing="1"/>
    </w:pPr>
    <w:rPr>
      <w:sz w:val="24"/>
      <w:szCs w:val="24"/>
      <w:lang w:val="x-none" w:eastAsia="x-none"/>
    </w:rPr>
  </w:style>
  <w:style w:type="character" w:customStyle="1" w:styleId="NormalWebChar1">
    <w:name w:val="Normal (Web) Char1"/>
    <w:aliases w:val="Normal (Web) Char Char"/>
    <w:link w:val="NormalWeb"/>
    <w:rsid w:val="00A66C01"/>
    <w:rPr>
      <w:rFonts w:ascii="Times New Roman" w:eastAsia="Times New Roman" w:hAnsi="Times New Roman" w:cs="Times New Roman"/>
      <w:sz w:val="24"/>
      <w:szCs w:val="24"/>
    </w:rPr>
  </w:style>
  <w:style w:type="character" w:customStyle="1" w:styleId="Heading2Char">
    <w:name w:val="Heading 2 Char"/>
    <w:link w:val="Heading2"/>
    <w:rsid w:val="00A66C01"/>
    <w:rPr>
      <w:rFonts w:ascii=".VnTime" w:eastAsia="Times New Roman" w:hAnsi=".VnTime" w:cs="Times New Roman"/>
      <w:b/>
      <w:i/>
      <w:sz w:val="26"/>
      <w:szCs w:val="20"/>
      <w:lang w:val="x-none" w:eastAsia="vi-VN"/>
    </w:rPr>
  </w:style>
  <w:style w:type="paragraph" w:styleId="Header">
    <w:name w:val="header"/>
    <w:basedOn w:val="Normal"/>
    <w:link w:val="HeaderChar"/>
    <w:uiPriority w:val="99"/>
    <w:unhideWhenUsed/>
    <w:rsid w:val="00CF26E8"/>
    <w:pPr>
      <w:tabs>
        <w:tab w:val="center" w:pos="4680"/>
        <w:tab w:val="right" w:pos="9360"/>
      </w:tabs>
    </w:pPr>
    <w:rPr>
      <w:lang w:val="x-none" w:eastAsia="x-none"/>
    </w:rPr>
  </w:style>
  <w:style w:type="character" w:customStyle="1" w:styleId="HeaderChar">
    <w:name w:val="Header Char"/>
    <w:link w:val="Header"/>
    <w:uiPriority w:val="99"/>
    <w:rsid w:val="00CF26E8"/>
    <w:rPr>
      <w:rFonts w:ascii="Times New Roman" w:eastAsia="Times New Roman" w:hAnsi="Times New Roman"/>
      <w:sz w:val="28"/>
      <w:szCs w:val="28"/>
    </w:rPr>
  </w:style>
  <w:style w:type="paragraph" w:styleId="Footer">
    <w:name w:val="footer"/>
    <w:basedOn w:val="Normal"/>
    <w:link w:val="FooterChar"/>
    <w:uiPriority w:val="99"/>
    <w:unhideWhenUsed/>
    <w:rsid w:val="00CF26E8"/>
    <w:pPr>
      <w:tabs>
        <w:tab w:val="center" w:pos="4680"/>
        <w:tab w:val="right" w:pos="9360"/>
      </w:tabs>
    </w:pPr>
    <w:rPr>
      <w:lang w:val="x-none" w:eastAsia="x-none"/>
    </w:rPr>
  </w:style>
  <w:style w:type="character" w:customStyle="1" w:styleId="FooterChar">
    <w:name w:val="Footer Char"/>
    <w:link w:val="Footer"/>
    <w:uiPriority w:val="99"/>
    <w:rsid w:val="00CF26E8"/>
    <w:rPr>
      <w:rFonts w:ascii="Times New Roman" w:eastAsia="Times New Roman" w:hAnsi="Times New Roman"/>
      <w:sz w:val="28"/>
      <w:szCs w:val="28"/>
    </w:rPr>
  </w:style>
  <w:style w:type="paragraph" w:styleId="ListParagraph">
    <w:name w:val="List Paragraph"/>
    <w:basedOn w:val="Normal"/>
    <w:uiPriority w:val="34"/>
    <w:qFormat/>
    <w:rsid w:val="006A0EC8"/>
    <w:pPr>
      <w:ind w:left="720"/>
      <w:contextualSpacing/>
    </w:pPr>
  </w:style>
  <w:style w:type="paragraph" w:styleId="BalloonText">
    <w:name w:val="Balloon Text"/>
    <w:basedOn w:val="Normal"/>
    <w:link w:val="BalloonTextChar"/>
    <w:uiPriority w:val="99"/>
    <w:semiHidden/>
    <w:unhideWhenUsed/>
    <w:rsid w:val="00640E88"/>
    <w:rPr>
      <w:rFonts w:ascii="Tahoma" w:hAnsi="Tahoma" w:cs="Tahoma"/>
      <w:sz w:val="16"/>
      <w:szCs w:val="16"/>
    </w:rPr>
  </w:style>
  <w:style w:type="character" w:customStyle="1" w:styleId="BalloonTextChar">
    <w:name w:val="Balloon Text Char"/>
    <w:basedOn w:val="DefaultParagraphFont"/>
    <w:link w:val="BalloonText"/>
    <w:uiPriority w:val="99"/>
    <w:semiHidden/>
    <w:rsid w:val="00640E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01"/>
    <w:rPr>
      <w:rFonts w:ascii="Times New Roman" w:eastAsia="Times New Roman" w:hAnsi="Times New Roman"/>
      <w:sz w:val="28"/>
      <w:szCs w:val="28"/>
    </w:rPr>
  </w:style>
  <w:style w:type="paragraph" w:styleId="Heading2">
    <w:name w:val="heading 2"/>
    <w:basedOn w:val="Normal"/>
    <w:next w:val="Normal"/>
    <w:link w:val="Heading2Char"/>
    <w:qFormat/>
    <w:rsid w:val="00A66C01"/>
    <w:pPr>
      <w:keepNext/>
      <w:jc w:val="center"/>
      <w:outlineLvl w:val="1"/>
    </w:pPr>
    <w:rPr>
      <w:rFonts w:ascii=".VnTime" w:hAnsi=".VnTime"/>
      <w:b/>
      <w:i/>
      <w:sz w:val="26"/>
      <w:szCs w:val="20"/>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66C01"/>
    <w:pPr>
      <w:ind w:left="720" w:right="-107"/>
      <w:jc w:val="both"/>
    </w:pPr>
    <w:rPr>
      <w:rFonts w:ascii=".VnTime" w:hAnsi=".VnTime"/>
      <w:bCs/>
      <w:color w:val="FF6600"/>
      <w:szCs w:val="20"/>
    </w:rPr>
  </w:style>
  <w:style w:type="paragraph" w:styleId="NormalWeb">
    <w:name w:val="Normal (Web)"/>
    <w:aliases w:val="Normal (Web) Char"/>
    <w:basedOn w:val="Normal"/>
    <w:link w:val="NormalWebChar1"/>
    <w:rsid w:val="00A66C01"/>
    <w:pPr>
      <w:spacing w:before="100" w:beforeAutospacing="1" w:after="100" w:afterAutospacing="1"/>
    </w:pPr>
    <w:rPr>
      <w:sz w:val="24"/>
      <w:szCs w:val="24"/>
      <w:lang w:val="x-none" w:eastAsia="x-none"/>
    </w:rPr>
  </w:style>
  <w:style w:type="character" w:customStyle="1" w:styleId="NormalWebChar1">
    <w:name w:val="Normal (Web) Char1"/>
    <w:aliases w:val="Normal (Web) Char Char"/>
    <w:link w:val="NormalWeb"/>
    <w:rsid w:val="00A66C01"/>
    <w:rPr>
      <w:rFonts w:ascii="Times New Roman" w:eastAsia="Times New Roman" w:hAnsi="Times New Roman" w:cs="Times New Roman"/>
      <w:sz w:val="24"/>
      <w:szCs w:val="24"/>
    </w:rPr>
  </w:style>
  <w:style w:type="character" w:customStyle="1" w:styleId="Heading2Char">
    <w:name w:val="Heading 2 Char"/>
    <w:link w:val="Heading2"/>
    <w:rsid w:val="00A66C01"/>
    <w:rPr>
      <w:rFonts w:ascii=".VnTime" w:eastAsia="Times New Roman" w:hAnsi=".VnTime" w:cs="Times New Roman"/>
      <w:b/>
      <w:i/>
      <w:sz w:val="26"/>
      <w:szCs w:val="20"/>
      <w:lang w:val="x-none" w:eastAsia="vi-VN"/>
    </w:rPr>
  </w:style>
  <w:style w:type="paragraph" w:styleId="Header">
    <w:name w:val="header"/>
    <w:basedOn w:val="Normal"/>
    <w:link w:val="HeaderChar"/>
    <w:uiPriority w:val="99"/>
    <w:unhideWhenUsed/>
    <w:rsid w:val="00CF26E8"/>
    <w:pPr>
      <w:tabs>
        <w:tab w:val="center" w:pos="4680"/>
        <w:tab w:val="right" w:pos="9360"/>
      </w:tabs>
    </w:pPr>
    <w:rPr>
      <w:lang w:val="x-none" w:eastAsia="x-none"/>
    </w:rPr>
  </w:style>
  <w:style w:type="character" w:customStyle="1" w:styleId="HeaderChar">
    <w:name w:val="Header Char"/>
    <w:link w:val="Header"/>
    <w:uiPriority w:val="99"/>
    <w:rsid w:val="00CF26E8"/>
    <w:rPr>
      <w:rFonts w:ascii="Times New Roman" w:eastAsia="Times New Roman" w:hAnsi="Times New Roman"/>
      <w:sz w:val="28"/>
      <w:szCs w:val="28"/>
    </w:rPr>
  </w:style>
  <w:style w:type="paragraph" w:styleId="Footer">
    <w:name w:val="footer"/>
    <w:basedOn w:val="Normal"/>
    <w:link w:val="FooterChar"/>
    <w:uiPriority w:val="99"/>
    <w:unhideWhenUsed/>
    <w:rsid w:val="00CF26E8"/>
    <w:pPr>
      <w:tabs>
        <w:tab w:val="center" w:pos="4680"/>
        <w:tab w:val="right" w:pos="9360"/>
      </w:tabs>
    </w:pPr>
    <w:rPr>
      <w:lang w:val="x-none" w:eastAsia="x-none"/>
    </w:rPr>
  </w:style>
  <w:style w:type="character" w:customStyle="1" w:styleId="FooterChar">
    <w:name w:val="Footer Char"/>
    <w:link w:val="Footer"/>
    <w:uiPriority w:val="99"/>
    <w:rsid w:val="00CF26E8"/>
    <w:rPr>
      <w:rFonts w:ascii="Times New Roman" w:eastAsia="Times New Roman" w:hAnsi="Times New Roman"/>
      <w:sz w:val="28"/>
      <w:szCs w:val="28"/>
    </w:rPr>
  </w:style>
  <w:style w:type="paragraph" w:styleId="ListParagraph">
    <w:name w:val="List Paragraph"/>
    <w:basedOn w:val="Normal"/>
    <w:uiPriority w:val="34"/>
    <w:qFormat/>
    <w:rsid w:val="006A0EC8"/>
    <w:pPr>
      <w:ind w:left="720"/>
      <w:contextualSpacing/>
    </w:pPr>
  </w:style>
  <w:style w:type="paragraph" w:styleId="BalloonText">
    <w:name w:val="Balloon Text"/>
    <w:basedOn w:val="Normal"/>
    <w:link w:val="BalloonTextChar"/>
    <w:uiPriority w:val="99"/>
    <w:semiHidden/>
    <w:unhideWhenUsed/>
    <w:rsid w:val="00640E88"/>
    <w:rPr>
      <w:rFonts w:ascii="Tahoma" w:hAnsi="Tahoma" w:cs="Tahoma"/>
      <w:sz w:val="16"/>
      <w:szCs w:val="16"/>
    </w:rPr>
  </w:style>
  <w:style w:type="character" w:customStyle="1" w:styleId="BalloonTextChar">
    <w:name w:val="Balloon Text Char"/>
    <w:basedOn w:val="DefaultParagraphFont"/>
    <w:link w:val="BalloonText"/>
    <w:uiPriority w:val="99"/>
    <w:semiHidden/>
    <w:rsid w:val="00640E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2D93-A5D0-4AA9-BCBE-A93037C2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Phòng Giá Công sản &amp; Đầu tư - Sở Tài Chính</vt:lpstr>
    </vt:vector>
  </TitlesOfParts>
  <Company>Microsoft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User</dc:creator>
  <cp:lastModifiedBy>Le Huyen</cp:lastModifiedBy>
  <cp:revision>7</cp:revision>
  <cp:lastPrinted>2022-08-04T08:19:00Z</cp:lastPrinted>
  <dcterms:created xsi:type="dcterms:W3CDTF">2022-09-11T02:44:00Z</dcterms:created>
  <dcterms:modified xsi:type="dcterms:W3CDTF">2022-09-14T06:35:00Z</dcterms:modified>
</cp:coreProperties>
</file>