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8" w:tblpY="-151"/>
        <w:tblW w:w="9356" w:type="dxa"/>
        <w:tblLook w:val="01E0" w:firstRow="1" w:lastRow="1" w:firstColumn="1" w:lastColumn="1" w:noHBand="0" w:noVBand="0"/>
      </w:tblPr>
      <w:tblGrid>
        <w:gridCol w:w="3715"/>
        <w:gridCol w:w="5641"/>
      </w:tblGrid>
      <w:tr w:rsidR="001D4130" w14:paraId="08CE1702" w14:textId="77777777" w:rsidTr="00837B98">
        <w:tc>
          <w:tcPr>
            <w:tcW w:w="3715" w:type="dxa"/>
          </w:tcPr>
          <w:p w14:paraId="286947A8" w14:textId="77777777" w:rsidR="001D4130" w:rsidRDefault="00B02796" w:rsidP="00837B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BAN NHÂN DÂN</w:t>
            </w:r>
          </w:p>
        </w:tc>
        <w:tc>
          <w:tcPr>
            <w:tcW w:w="5641" w:type="dxa"/>
          </w:tcPr>
          <w:p w14:paraId="69EECA27" w14:textId="77777777" w:rsidR="001D4130" w:rsidRDefault="00B02796" w:rsidP="00837B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1D4130" w14:paraId="1B67B7C1" w14:textId="77777777" w:rsidTr="00837B98">
        <w:tc>
          <w:tcPr>
            <w:tcW w:w="3715" w:type="dxa"/>
          </w:tcPr>
          <w:p w14:paraId="65555D39" w14:textId="77777777" w:rsidR="001D4130" w:rsidRDefault="00B02796" w:rsidP="00837B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TỈNH </w:t>
            </w:r>
            <w:r w:rsidR="00D81272">
              <w:rPr>
                <w:b/>
                <w:sz w:val="26"/>
                <w:szCs w:val="26"/>
              </w:rPr>
              <w:t>NINH THUẬN</w:t>
            </w:r>
          </w:p>
        </w:tc>
        <w:tc>
          <w:tcPr>
            <w:tcW w:w="5641" w:type="dxa"/>
          </w:tcPr>
          <w:p w14:paraId="16E64813" w14:textId="77777777" w:rsidR="001D4130" w:rsidRDefault="00B02796" w:rsidP="00837B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1D4130" w14:paraId="307CA2C5" w14:textId="77777777" w:rsidTr="00837B98">
        <w:tc>
          <w:tcPr>
            <w:tcW w:w="3715" w:type="dxa"/>
          </w:tcPr>
          <w:p w14:paraId="75011916" w14:textId="77777777" w:rsidR="001D4130" w:rsidRDefault="00B02796" w:rsidP="00837B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E7B59" wp14:editId="14EEB61D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25963</wp:posOffset>
                      </wp:positionV>
                      <wp:extent cx="800100" cy="0"/>
                      <wp:effectExtent l="0" t="0" r="19050" b="19050"/>
                      <wp:wrapNone/>
                      <wp:docPr id="1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AF780B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2.05pt" to="115.05pt,2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7TWiyQEAANQDAAAOAAAAZHJzL2Uyb0RvYy54bWysU8tu2zAQvBfIPxC815JdpEgFyzk4aC99 BE3zATS1tIiSXIJkLPnvu6QstWiCoih6IURyZnZnuNrejtawE4So0bV8vao5Ayex0+7Y8sdv71/f cBaTcJ0w6KDlZ4j8dnf1ajv4BjbYo+kgMBJxsRl8y/uUfFNVUfZgRVyhB0eXCoMVibbhWHVBDKRu TbWp67fVgKHzASXESKd30yXfFX2lQKYvSkVIzLScektlDWU95LXabUVzDML3Wl7aEP/QhRXaUdFF 6k4kwZ6CfiZltQwYUaWVRFuhUlpC8UBu1vVvbh564aF4oXCiX2KK/09Wfj7dB6Y7ejvOnLD0RA8p CH3sE9ujcxQgBvYm5zT42BB87+7DZRc9cQ/DJ+yIJp4SlghGFWyOgsyxsSR9XpKGMTFJhzc1uaX3 kPNVJZqZ50NMHwAtyx8tN9rlDEQjTh9josoEnSH52Dg2tPzd9eY6N1nlLnNfU78xnQ1MqK+gyCfV Xhe1MmGwN4GdBM1G931d6FmPkJmitDELqf4z6YLNNChT97fEBV0qoksL0WqH4aWqaZxbVRN+dj15 zQEcsDuXVypx0OiU1C5jnmfz132h//wZdz8AAAD//wMAUEsDBBQABgAIAAAAIQBtvGoS2gAAAAcB AAAPAAAAZHJzL2Rvd25yZXYueG1sTI7BTsMwEETvSPyDtUjcqJ2AAIU4VYSE4MCFNAeObrwkUeN1 Grtpytez5QKnndGMZl++XtwgZpxC70lDslIgkBpve2o11JuXm0cQIRqyZvCEGk4YYF1cXuQms/5I HzhXsRU8QiEzGroYx0zK0HToTFj5EYmzLz85E9lOrbSTOfK4G2Sq1L10pif+0JkRnztsdtXBaXj/ rvYquNfdHOt9kpbl26l++NT6+mopn0BEXOJfGc74jA4FM239gWwQA3t1l3BVw/lwnt4qFttfL4tc /ucvfgAAAP//AwBQSwECLQAUAAYACAAAACEAtoM4kv4AAADhAQAAEwAAAAAAAAAAAAAAAAAAAAAA W0NvbnRlbnRfVHlwZXNdLnhtbFBLAQItABQABgAIAAAAIQA4/SH/1gAAAJQBAAALAAAAAAAAAAAA AAAAAC8BAABfcmVscy8ucmVsc1BLAQItABQABgAIAAAAIQBE7TWiyQEAANQDAAAOAAAAAAAAAAAA AAAAAC4CAABkcnMvZTJvRG9jLnhtbFBLAQItABQABgAIAAAAIQBtvGoS2gAAAAcBAAAPAAAAAAAA AAAAAAAAACMEAABkcnMvZG93bnJldi54bWxQSwUGAAAAAAQABADzAAAAKgUAAAAA 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41" w:type="dxa"/>
          </w:tcPr>
          <w:p w14:paraId="462C671D" w14:textId="77777777" w:rsidR="001D4130" w:rsidRDefault="00B02796" w:rsidP="00837B98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D3388" wp14:editId="6F3EAD56">
                      <wp:simplePos x="0" y="0"/>
                      <wp:positionH relativeFrom="column">
                        <wp:posOffset>631262</wp:posOffset>
                      </wp:positionH>
                      <wp:positionV relativeFrom="paragraph">
                        <wp:posOffset>33655</wp:posOffset>
                      </wp:positionV>
                      <wp:extent cx="2162175" cy="0"/>
                      <wp:effectExtent l="0" t="0" r="9525" b="19050"/>
                      <wp:wrapNone/>
                      <wp:docPr id="2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6044F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9.7pt;margin-top:2.65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i2WltgEAAFkDAAAOAAAAZHJzL2Uyb0RvYy54bWysU8uO2zAMvBfoPwi6N44NZNsacRZFtttL Hwts+wGMJNsCZFGglDj5+1LKY/u4FfWBEEXNcDiS1/fHyYmDoWjRd7JeLKUwXqG2fujkj++Pb95J ERN4DQ696eTJRHm/ef1qPYfWNDii04YEk/jYzqGTY0qhraqoRjNBXGAwnos90gSJUxoqTTAz++Sq Zrm8q2YkHQiViZF3H85FuSn8fW9U+tb30SThOsnaUolU4i7HarOGdiAIo1UXGfAPKiawnpveqB4g gdiT/YtqsoowYp8WCqcK+94qU2bgaerlH9M8jxBMmYXNieFmU/x/tOrr4YmE1Z1spPAw8RU9JwI7 jEl8IMJZbNF7thFJ1NmtOcSWQVv/RJcsBmbYzV9QMxj2CYsRx56mbAiPKI7F79PNb3NMQvFmU981 9duVFOpaq6C9AgPF9MngJPKik/Gi6ianLm3g8DkmFsLAKyB39fhonSuX67yYO/l+1awKIKKzOhfz sUjDbutIHCA/j/LlGZnst2OEe68L2WhAf7ysE1h3XvN55xmWvclunF3aoT4Vk8o+318hvry1/EB+ zQv65Y/Y/AQAAP//AwBQSwMEFAAGAAgAAAAhAPNcgcrbAAAABgEAAA8AAABkcnMvZG93bnJldi54 bWxMjk1PwzAQRO9I/AdrK3FB1OkXwiFOVSFx4EhbiasbL0lovI5ipwn99Wx7KcfRjN68bD26Rpyw C7UnDbNpAgKp8LamUsN+9/70AiJEQ9Y0nlDDLwZY5/d3mUmtH+gTT9tYCoZQSI2GKsY2lTIUFToT pr5F4u7bd85Ejl0pbWcGhrtGzpPkWTpTEz9UpsW3CovjtncaMPSrWbJRrtx/nIfHr/n5Z2h3Wj9M xs0riIhjvI3hos/qkLPTwfdkg2g0KLXkpYbVAgTXy4VSIA7XLPNM/tfP/wAAAP//AwBQSwECLQAU AAYACAAAACEAtoM4kv4AAADhAQAAEwAAAAAAAAAAAAAAAAAAAAAAW0NvbnRlbnRfVHlwZXNdLnht bFBLAQItABQABgAIAAAAIQA4/SH/1gAAAJQBAAALAAAAAAAAAAAAAAAAAC8BAABfcmVscy8ucmVs c1BLAQItABQABgAIAAAAIQBoi2WltgEAAFkDAAAOAAAAAAAAAAAAAAAAAC4CAABkcnMvZTJvRG9j LnhtbFBLAQItABQABgAIAAAAIQDzXIHK2wAAAAYBAAAPAAAAAAAAAAAAAAAAABAEAABkcnMvZG93 bnJldi54bWxQSwUGAAAAAAQABADzAAAAGAUAAAAA "/>
                  </w:pict>
                </mc:Fallback>
              </mc:AlternateContent>
            </w:r>
          </w:p>
        </w:tc>
      </w:tr>
      <w:tr w:rsidR="001D4130" w14:paraId="4725DD13" w14:textId="77777777" w:rsidTr="00837B98">
        <w:tc>
          <w:tcPr>
            <w:tcW w:w="3715" w:type="dxa"/>
          </w:tcPr>
          <w:p w14:paraId="387D343C" w14:textId="38B69E93" w:rsidR="001D4130" w:rsidRDefault="00B02796" w:rsidP="00837B98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D66E9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/UBND-</w:t>
            </w:r>
            <w:r w:rsidR="00D81272">
              <w:rPr>
                <w:sz w:val="26"/>
                <w:szCs w:val="26"/>
              </w:rPr>
              <w:t>VXNV</w:t>
            </w:r>
          </w:p>
        </w:tc>
        <w:tc>
          <w:tcPr>
            <w:tcW w:w="5641" w:type="dxa"/>
          </w:tcPr>
          <w:p w14:paraId="3649C561" w14:textId="19EE837A" w:rsidR="001D4130" w:rsidRDefault="00D81272" w:rsidP="00837B9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Ninh Thuận</w:t>
            </w:r>
            <w:r w:rsidR="00B02796">
              <w:rPr>
                <w:i/>
                <w:sz w:val="26"/>
                <w:szCs w:val="26"/>
              </w:rPr>
              <w:t xml:space="preserve">, ngày </w:t>
            </w:r>
            <w:r w:rsidR="00D66E9F">
              <w:rPr>
                <w:i/>
                <w:sz w:val="26"/>
                <w:szCs w:val="26"/>
              </w:rPr>
              <w:t xml:space="preserve">      </w:t>
            </w:r>
            <w:r w:rsidR="00B02796">
              <w:rPr>
                <w:i/>
                <w:sz w:val="26"/>
                <w:szCs w:val="26"/>
              </w:rPr>
              <w:t xml:space="preserve"> tháng </w:t>
            </w:r>
            <w:r w:rsidR="00D66E9F">
              <w:rPr>
                <w:i/>
                <w:sz w:val="26"/>
                <w:szCs w:val="26"/>
              </w:rPr>
              <w:t>0</w:t>
            </w:r>
            <w:r w:rsidR="00A03E0A">
              <w:rPr>
                <w:i/>
                <w:sz w:val="26"/>
                <w:szCs w:val="26"/>
              </w:rPr>
              <w:t>2</w:t>
            </w:r>
            <w:r w:rsidR="00B02796">
              <w:rPr>
                <w:i/>
                <w:sz w:val="26"/>
                <w:szCs w:val="26"/>
              </w:rPr>
              <w:t xml:space="preserve"> năm 202</w:t>
            </w:r>
            <w:r w:rsidR="00D66E9F">
              <w:rPr>
                <w:i/>
                <w:sz w:val="26"/>
                <w:szCs w:val="26"/>
              </w:rPr>
              <w:t>2</w:t>
            </w:r>
          </w:p>
        </w:tc>
      </w:tr>
      <w:tr w:rsidR="001D4130" w14:paraId="089271BF" w14:textId="77777777" w:rsidTr="00837B98">
        <w:tc>
          <w:tcPr>
            <w:tcW w:w="3715" w:type="dxa"/>
          </w:tcPr>
          <w:p w14:paraId="129EFCA5" w14:textId="78D7E9CF" w:rsidR="001D4130" w:rsidRDefault="00B02796" w:rsidP="00837B98">
            <w:pPr>
              <w:ind w:left="-108" w:right="-108"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V/v</w:t>
            </w:r>
            <w:r w:rsidR="00A03E0A">
              <w:rPr>
                <w:sz w:val="26"/>
                <w:szCs w:val="26"/>
              </w:rPr>
              <w:t xml:space="preserve"> </w:t>
            </w:r>
            <w:r w:rsidR="00820ACD">
              <w:rPr>
                <w:sz w:val="26"/>
                <w:szCs w:val="26"/>
              </w:rPr>
              <w:t xml:space="preserve">triển khai kinh phí </w:t>
            </w:r>
            <w:r>
              <w:rPr>
                <w:sz w:val="26"/>
                <w:szCs w:val="26"/>
              </w:rPr>
              <w:t>ủng hộ Chương trình “Sóng và máy tính cho em” trên địa bàn tỉnh</w:t>
            </w:r>
          </w:p>
        </w:tc>
        <w:tc>
          <w:tcPr>
            <w:tcW w:w="5641" w:type="dxa"/>
          </w:tcPr>
          <w:p w14:paraId="784EF824" w14:textId="77777777" w:rsidR="001D4130" w:rsidRDefault="001D4130" w:rsidP="00837B98">
            <w:pPr>
              <w:jc w:val="center"/>
              <w:rPr>
                <w:sz w:val="26"/>
                <w:szCs w:val="28"/>
              </w:rPr>
            </w:pPr>
          </w:p>
        </w:tc>
      </w:tr>
    </w:tbl>
    <w:p w14:paraId="41B63F1D" w14:textId="77777777" w:rsidR="00D81272" w:rsidRDefault="00B027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150"/>
      </w:tblGrid>
      <w:tr w:rsidR="00D81272" w14:paraId="70E0E977" w14:textId="77777777" w:rsidTr="00820ACD">
        <w:tc>
          <w:tcPr>
            <w:tcW w:w="2713" w:type="pct"/>
          </w:tcPr>
          <w:p w14:paraId="07A018AD" w14:textId="77777777" w:rsidR="00D81272" w:rsidRDefault="00D81272" w:rsidP="00D812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Kính gửi: </w:t>
            </w:r>
          </w:p>
          <w:p w14:paraId="23DF4FDC" w14:textId="77777777" w:rsidR="00D81272" w:rsidRDefault="00D81272" w:rsidP="00D8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87" w:type="pct"/>
          </w:tcPr>
          <w:p w14:paraId="0A18B4E8" w14:textId="5A8B867C" w:rsidR="00FD2DA3" w:rsidRDefault="00820ACD" w:rsidP="00D8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Sở Giáo dục và Đào tạo.</w:t>
            </w:r>
          </w:p>
        </w:tc>
      </w:tr>
    </w:tbl>
    <w:p w14:paraId="7F697B7A" w14:textId="77777777" w:rsidR="00D81272" w:rsidRDefault="00D81272">
      <w:pPr>
        <w:rPr>
          <w:color w:val="000000"/>
          <w:sz w:val="28"/>
          <w:szCs w:val="28"/>
        </w:rPr>
      </w:pPr>
    </w:p>
    <w:p w14:paraId="257C5B63" w14:textId="799813C1" w:rsidR="001D4130" w:rsidRPr="00AD1824" w:rsidRDefault="009E0B19" w:rsidP="00AD1824">
      <w:pPr>
        <w:spacing w:before="120" w:after="120"/>
        <w:ind w:firstLine="720"/>
        <w:jc w:val="both"/>
        <w:rPr>
          <w:iCs/>
          <w:sz w:val="28"/>
          <w:szCs w:val="28"/>
        </w:rPr>
      </w:pPr>
      <w:r w:rsidRPr="00AD1824">
        <w:rPr>
          <w:iCs/>
          <w:sz w:val="28"/>
          <w:szCs w:val="28"/>
        </w:rPr>
        <w:t>Xét đề nghị của Sở Giáo dục và Đào tạo tạ</w:t>
      </w:r>
      <w:r w:rsidR="00663058" w:rsidRPr="00AD1824">
        <w:rPr>
          <w:iCs/>
          <w:sz w:val="28"/>
          <w:szCs w:val="28"/>
        </w:rPr>
        <w:t>i</w:t>
      </w:r>
      <w:r w:rsidRPr="00AD1824">
        <w:rPr>
          <w:iCs/>
          <w:sz w:val="28"/>
          <w:szCs w:val="28"/>
        </w:rPr>
        <w:t xml:space="preserve"> Báo cáo số 275/BC-SGDĐT </w:t>
      </w:r>
      <w:r w:rsidR="00F11384" w:rsidRPr="00AD1824">
        <w:rPr>
          <w:iCs/>
          <w:sz w:val="28"/>
          <w:szCs w:val="28"/>
        </w:rPr>
        <w:t>ngày 14/02/2022 về việc Bộ Giáo dục và Đào tạo hỗ trợ kinh phí trang bị máy tính cho học sinh theo Chương trình "Sóng và máy tính cho em";</w:t>
      </w:r>
    </w:p>
    <w:p w14:paraId="0E4AF283" w14:textId="53596381" w:rsidR="009C4D9A" w:rsidRPr="00AD1824" w:rsidRDefault="009C4D9A" w:rsidP="00880107">
      <w:pPr>
        <w:spacing w:before="360" w:after="360"/>
        <w:ind w:firstLine="720"/>
        <w:jc w:val="both"/>
        <w:rPr>
          <w:iCs/>
          <w:sz w:val="28"/>
          <w:szCs w:val="28"/>
        </w:rPr>
      </w:pPr>
      <w:r w:rsidRPr="00AD1824">
        <w:rPr>
          <w:iCs/>
          <w:sz w:val="28"/>
          <w:szCs w:val="28"/>
        </w:rPr>
        <w:t>Chủ tịch Ủy ban nhân dân tỉnh có ý kiến như sau:</w:t>
      </w:r>
    </w:p>
    <w:p w14:paraId="2ECABAAF" w14:textId="26E4DFDF" w:rsidR="001D4130" w:rsidRPr="00AD1824" w:rsidRDefault="009C4D9A" w:rsidP="00AD1824">
      <w:pPr>
        <w:spacing w:before="120" w:after="120"/>
        <w:ind w:firstLine="720"/>
        <w:jc w:val="both"/>
        <w:rPr>
          <w:iCs/>
          <w:sz w:val="28"/>
          <w:szCs w:val="28"/>
        </w:rPr>
      </w:pPr>
      <w:r w:rsidRPr="00AD1824">
        <w:rPr>
          <w:iCs/>
          <w:sz w:val="28"/>
          <w:szCs w:val="28"/>
        </w:rPr>
        <w:t xml:space="preserve">1. </w:t>
      </w:r>
      <w:r w:rsidR="00380665">
        <w:rPr>
          <w:iCs/>
          <w:sz w:val="28"/>
          <w:szCs w:val="28"/>
        </w:rPr>
        <w:t xml:space="preserve">Giao Sở Giáo dục và Đào tạo chủ trì, phối hợp các cơ quan liên quan khẩn trương triển khai thực hiện mua máy tính của </w:t>
      </w:r>
      <w:r w:rsidR="00380665" w:rsidRPr="00AD1824">
        <w:rPr>
          <w:iCs/>
          <w:sz w:val="28"/>
          <w:szCs w:val="28"/>
        </w:rPr>
        <w:t>Chương trình “Sóng và máy tính cho em”</w:t>
      </w:r>
      <w:r w:rsidR="00380665">
        <w:rPr>
          <w:iCs/>
          <w:sz w:val="28"/>
          <w:szCs w:val="28"/>
        </w:rPr>
        <w:t xml:space="preserve"> theo chỉ đạo </w:t>
      </w:r>
      <w:r w:rsidR="00380665" w:rsidRPr="00AD1824">
        <w:rPr>
          <w:iCs/>
          <w:sz w:val="28"/>
          <w:szCs w:val="28"/>
        </w:rPr>
        <w:t xml:space="preserve">của Bộ Giáo dục và Đào tạo </w:t>
      </w:r>
      <w:r w:rsidR="00380665">
        <w:rPr>
          <w:iCs/>
          <w:sz w:val="28"/>
          <w:szCs w:val="28"/>
        </w:rPr>
        <w:t xml:space="preserve">tại văn bản </w:t>
      </w:r>
      <w:r w:rsidR="00A75B95" w:rsidRPr="00AD1824">
        <w:rPr>
          <w:iCs/>
          <w:sz w:val="28"/>
          <w:szCs w:val="28"/>
        </w:rPr>
        <w:t>số 427/BGDĐT-CSVC ngày 10</w:t>
      </w:r>
      <w:r w:rsidR="00663058" w:rsidRPr="00AD1824">
        <w:rPr>
          <w:iCs/>
          <w:sz w:val="28"/>
          <w:szCs w:val="28"/>
        </w:rPr>
        <w:t>/</w:t>
      </w:r>
      <w:r w:rsidR="00A75B95" w:rsidRPr="00AD1824">
        <w:rPr>
          <w:iCs/>
          <w:sz w:val="28"/>
          <w:szCs w:val="28"/>
        </w:rPr>
        <w:t>02</w:t>
      </w:r>
      <w:r w:rsidR="00663058" w:rsidRPr="00AD1824">
        <w:rPr>
          <w:iCs/>
          <w:sz w:val="28"/>
          <w:szCs w:val="28"/>
        </w:rPr>
        <w:t>/</w:t>
      </w:r>
      <w:r w:rsidR="00A75B95" w:rsidRPr="00AD1824">
        <w:rPr>
          <w:iCs/>
          <w:sz w:val="28"/>
          <w:szCs w:val="28"/>
        </w:rPr>
        <w:t>2022</w:t>
      </w:r>
      <w:r w:rsidR="00380665">
        <w:rPr>
          <w:iCs/>
          <w:sz w:val="28"/>
          <w:szCs w:val="28"/>
        </w:rPr>
        <w:t xml:space="preserve"> kịp thời, sử dụng kinh phí đúng mục đích, tổ chức mua sắm và bàn giao máy tính cho học sinh đảm bảo chặt chẽ, phù hợp,</w:t>
      </w:r>
      <w:r w:rsidR="00380665" w:rsidRPr="00380665">
        <w:rPr>
          <w:iCs/>
          <w:sz w:val="28"/>
          <w:szCs w:val="28"/>
        </w:rPr>
        <w:t xml:space="preserve"> </w:t>
      </w:r>
      <w:r w:rsidR="00380665">
        <w:rPr>
          <w:iCs/>
          <w:sz w:val="28"/>
          <w:szCs w:val="28"/>
        </w:rPr>
        <w:t>hiệu quả</w:t>
      </w:r>
      <w:r w:rsidR="00380665">
        <w:rPr>
          <w:iCs/>
          <w:sz w:val="28"/>
          <w:szCs w:val="28"/>
        </w:rPr>
        <w:t xml:space="preserve"> và đúng quy định của pháp luật; báo cáo kết quả cho Bộ Giáo dục và Đào tạo, UBND tỉnh theo quy định</w:t>
      </w:r>
      <w:r w:rsidR="00EA76DB" w:rsidRPr="00AD1824">
        <w:rPr>
          <w:iCs/>
          <w:sz w:val="28"/>
          <w:szCs w:val="28"/>
        </w:rPr>
        <w:t>.</w:t>
      </w:r>
    </w:p>
    <w:p w14:paraId="42D16BC1" w14:textId="4EF088C3" w:rsidR="00EA76DB" w:rsidRPr="00AD1824" w:rsidRDefault="00EA76DB" w:rsidP="00AD1824">
      <w:pPr>
        <w:spacing w:before="120" w:after="120"/>
        <w:ind w:firstLine="720"/>
        <w:jc w:val="both"/>
        <w:rPr>
          <w:rFonts w:cs="Times New Roman"/>
          <w:sz w:val="28"/>
          <w:szCs w:val="28"/>
        </w:rPr>
      </w:pPr>
      <w:r w:rsidRPr="00AD1824">
        <w:rPr>
          <w:rFonts w:cs="Times New Roman"/>
          <w:sz w:val="28"/>
          <w:szCs w:val="28"/>
        </w:rPr>
        <w:t xml:space="preserve">2. Giao Sở Giáo dục và Đào tạo </w:t>
      </w:r>
      <w:r w:rsidR="00353E08" w:rsidRPr="00AD1824">
        <w:rPr>
          <w:rFonts w:cs="Times New Roman"/>
          <w:sz w:val="28"/>
          <w:szCs w:val="28"/>
        </w:rPr>
        <w:t>triển khai thực hiện những nhiệm vụ sau đây:</w:t>
      </w:r>
    </w:p>
    <w:p w14:paraId="7CBB8876" w14:textId="164833B8" w:rsidR="00353E08" w:rsidRDefault="00353E08" w:rsidP="00AD1824">
      <w:pPr>
        <w:spacing w:before="120" w:after="120"/>
        <w:ind w:firstLine="720"/>
        <w:jc w:val="both"/>
        <w:rPr>
          <w:rFonts w:cs="Times New Roman"/>
          <w:sz w:val="28"/>
          <w:szCs w:val="28"/>
        </w:rPr>
      </w:pPr>
      <w:r w:rsidRPr="00AD1824">
        <w:rPr>
          <w:rFonts w:cs="Times New Roman"/>
          <w:sz w:val="28"/>
          <w:szCs w:val="28"/>
        </w:rPr>
        <w:t xml:space="preserve">a) Chủ trì, phối hợp với các cơ quan, địa phương liên quan </w:t>
      </w:r>
      <w:r w:rsidR="00DB3C8E">
        <w:rPr>
          <w:rFonts w:cs="Times New Roman"/>
          <w:sz w:val="28"/>
          <w:szCs w:val="28"/>
        </w:rPr>
        <w:t xml:space="preserve">chịu trách nhiệm </w:t>
      </w:r>
      <w:r w:rsidRPr="00AD1824">
        <w:rPr>
          <w:rFonts w:cs="Times New Roman"/>
          <w:sz w:val="28"/>
          <w:szCs w:val="28"/>
        </w:rPr>
        <w:t xml:space="preserve">triển khai việc mua sắm </w:t>
      </w:r>
      <w:r w:rsidR="00AD1824" w:rsidRPr="00AD1824">
        <w:rPr>
          <w:rFonts w:cs="Times New Roman"/>
          <w:sz w:val="28"/>
          <w:szCs w:val="28"/>
        </w:rPr>
        <w:t xml:space="preserve">từ nguồn tài trợ </w:t>
      </w:r>
      <w:r w:rsidR="00AD1824">
        <w:rPr>
          <w:rFonts w:cs="Times New Roman"/>
          <w:sz w:val="28"/>
          <w:szCs w:val="28"/>
        </w:rPr>
        <w:t xml:space="preserve">nêu </w:t>
      </w:r>
      <w:r w:rsidR="00AD1824" w:rsidRPr="00AD1824">
        <w:rPr>
          <w:rFonts w:cs="Times New Roman"/>
          <w:sz w:val="28"/>
          <w:szCs w:val="28"/>
        </w:rPr>
        <w:t xml:space="preserve">trên </w:t>
      </w:r>
      <w:r w:rsidR="00AD1824">
        <w:rPr>
          <w:rFonts w:cs="Times New Roman"/>
          <w:sz w:val="28"/>
          <w:szCs w:val="28"/>
        </w:rPr>
        <w:t xml:space="preserve">kết hợp với tiền vận động đóng góp của các tổ chức, cá nhân </w:t>
      </w:r>
      <w:r w:rsidR="00165F38">
        <w:rPr>
          <w:rFonts w:cs="Times New Roman"/>
          <w:sz w:val="28"/>
          <w:szCs w:val="28"/>
        </w:rPr>
        <w:t xml:space="preserve">tại Công văn số 6714/UBND-VXNV ngày 09/12/2021 của Ủy ban nhân dân tỉnh về việc chung tay ủng hộ Chương trình “Sóng và máy tính cho em” trên địa bàn tỉnh </w:t>
      </w:r>
      <w:r w:rsidR="00AD1824" w:rsidRPr="00AD1824">
        <w:rPr>
          <w:rFonts w:cs="Times New Roman"/>
          <w:sz w:val="28"/>
          <w:szCs w:val="28"/>
        </w:rPr>
        <w:t xml:space="preserve">theo quy định của Luật Đấu thầu và các quy định </w:t>
      </w:r>
      <w:r w:rsidR="00380665">
        <w:rPr>
          <w:rFonts w:cs="Times New Roman"/>
          <w:sz w:val="28"/>
          <w:szCs w:val="28"/>
        </w:rPr>
        <w:t xml:space="preserve">khác </w:t>
      </w:r>
      <w:r w:rsidR="00AD1824" w:rsidRPr="00AD1824">
        <w:rPr>
          <w:rFonts w:cs="Times New Roman"/>
          <w:sz w:val="28"/>
          <w:szCs w:val="28"/>
        </w:rPr>
        <w:t>có liên quan</w:t>
      </w:r>
      <w:r w:rsidR="00955045">
        <w:rPr>
          <w:rFonts w:cs="Times New Roman"/>
          <w:sz w:val="28"/>
          <w:szCs w:val="28"/>
        </w:rPr>
        <w:t xml:space="preserve">; </w:t>
      </w:r>
      <w:r w:rsidR="00380665">
        <w:rPr>
          <w:rFonts w:cs="Times New Roman"/>
          <w:sz w:val="28"/>
          <w:szCs w:val="28"/>
        </w:rPr>
        <w:t xml:space="preserve">lưu ý sử dụng kinh phí đúng mục đích, đúng quy định, </w:t>
      </w:r>
      <w:r w:rsidR="00955045">
        <w:rPr>
          <w:rFonts w:cs="Times New Roman"/>
          <w:sz w:val="28"/>
          <w:szCs w:val="28"/>
        </w:rPr>
        <w:t>đồng thời, tổ chức cấp phát kịp thời cho đúng đối tượng học sinh thụ hưởng.</w:t>
      </w:r>
    </w:p>
    <w:p w14:paraId="14FA6A26" w14:textId="4BE2FB0E" w:rsidR="00DB3C8E" w:rsidRDefault="00DB3C8E" w:rsidP="00AD1824">
      <w:pPr>
        <w:spacing w:before="120" w:after="12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b) </w:t>
      </w:r>
      <w:r w:rsidR="000F2B46">
        <w:rPr>
          <w:rFonts w:cs="Times New Roman"/>
          <w:sz w:val="28"/>
          <w:szCs w:val="28"/>
        </w:rPr>
        <w:t>Tham mưu</w:t>
      </w:r>
      <w:r w:rsidR="00CE2E0E">
        <w:rPr>
          <w:rFonts w:cs="Times New Roman"/>
          <w:sz w:val="28"/>
          <w:szCs w:val="28"/>
        </w:rPr>
        <w:t>, trình</w:t>
      </w:r>
      <w:r w:rsidR="000F2B46">
        <w:rPr>
          <w:rFonts w:cs="Times New Roman"/>
          <w:sz w:val="28"/>
          <w:szCs w:val="28"/>
        </w:rPr>
        <w:t xml:space="preserve"> Ủy ban nhân dân tỉnh Thư cảm ơn các tổ chức và cá nhân </w:t>
      </w:r>
      <w:r w:rsidR="00CE2E0E">
        <w:rPr>
          <w:rFonts w:cs="Times New Roman"/>
          <w:sz w:val="28"/>
          <w:szCs w:val="28"/>
        </w:rPr>
        <w:t xml:space="preserve">đã </w:t>
      </w:r>
      <w:r w:rsidR="000F2B46">
        <w:rPr>
          <w:rFonts w:cs="Times New Roman"/>
          <w:sz w:val="28"/>
          <w:szCs w:val="28"/>
        </w:rPr>
        <w:t>chung tay ủng hộ Chương trình “Sóng và máy tính cho em” trên địa bàn tỉnh</w:t>
      </w:r>
      <w:r w:rsidR="00CE2E0E">
        <w:rPr>
          <w:rFonts w:cs="Times New Roman"/>
          <w:sz w:val="28"/>
          <w:szCs w:val="28"/>
        </w:rPr>
        <w:t xml:space="preserve"> trong tháng 0</w:t>
      </w:r>
      <w:r w:rsidR="00380665">
        <w:rPr>
          <w:rFonts w:cs="Times New Roman"/>
          <w:sz w:val="28"/>
          <w:szCs w:val="28"/>
        </w:rPr>
        <w:t>2</w:t>
      </w:r>
      <w:r w:rsidR="00CE2E0E">
        <w:rPr>
          <w:rFonts w:cs="Times New Roman"/>
          <w:sz w:val="28"/>
          <w:szCs w:val="28"/>
        </w:rPr>
        <w:t>/2022.</w:t>
      </w:r>
    </w:p>
    <w:p w14:paraId="7FCA7D04" w14:textId="327D73E5" w:rsidR="00663128" w:rsidRDefault="00663128" w:rsidP="00AD1824">
      <w:pPr>
        <w:spacing w:before="120" w:after="12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c) Báo cáo </w:t>
      </w:r>
      <w:r w:rsidR="000411AB">
        <w:rPr>
          <w:rFonts w:cs="Times New Roman"/>
          <w:sz w:val="28"/>
          <w:szCs w:val="28"/>
        </w:rPr>
        <w:t xml:space="preserve">toàn </w:t>
      </w:r>
      <w:r w:rsidR="00380665">
        <w:rPr>
          <w:rFonts w:cs="Times New Roman"/>
          <w:sz w:val="28"/>
          <w:szCs w:val="28"/>
        </w:rPr>
        <w:t>diện</w:t>
      </w:r>
      <w:r w:rsidR="000411A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kết quả thực hiện </w:t>
      </w:r>
      <w:r w:rsidR="000411AB">
        <w:rPr>
          <w:rFonts w:cs="Times New Roman"/>
          <w:sz w:val="28"/>
          <w:szCs w:val="28"/>
        </w:rPr>
        <w:t xml:space="preserve">Chương trình “Sóng và máy tính cho em” trên địa bàn tỉnh từ lúc ban đầu đến nay </w:t>
      </w:r>
      <w:r w:rsidR="00F159A3">
        <w:rPr>
          <w:rFonts w:cs="Times New Roman"/>
          <w:sz w:val="28"/>
          <w:szCs w:val="28"/>
        </w:rPr>
        <w:t>để gửi cho các cơ quan chức năng</w:t>
      </w:r>
      <w:r>
        <w:rPr>
          <w:rFonts w:cs="Times New Roman"/>
          <w:sz w:val="28"/>
          <w:szCs w:val="28"/>
        </w:rPr>
        <w:t xml:space="preserve"> theo quy định</w:t>
      </w:r>
      <w:r w:rsidR="00F159A3">
        <w:rPr>
          <w:rFonts w:cs="Times New Roman"/>
          <w:sz w:val="28"/>
          <w:szCs w:val="28"/>
        </w:rPr>
        <w:t xml:space="preserve"> trong tháng 3</w:t>
      </w:r>
      <w:r w:rsidR="00837B98">
        <w:rPr>
          <w:rFonts w:cs="Times New Roman"/>
          <w:sz w:val="28"/>
          <w:szCs w:val="28"/>
        </w:rPr>
        <w:t>/2022.</w:t>
      </w:r>
    </w:p>
    <w:p w14:paraId="411673B5" w14:textId="1800D678" w:rsidR="003807C3" w:rsidRDefault="003807C3" w:rsidP="00AD1824">
      <w:pPr>
        <w:spacing w:before="120" w:after="12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Giao Sở Nội vụ </w:t>
      </w:r>
      <w:r w:rsidR="00304FE9">
        <w:rPr>
          <w:rFonts w:cs="Times New Roman"/>
          <w:sz w:val="28"/>
          <w:szCs w:val="28"/>
        </w:rPr>
        <w:t xml:space="preserve">chủ trì, phối hợp với Sở Giáo dục và Đào tạo </w:t>
      </w:r>
      <w:r w:rsidR="00F159A3">
        <w:rPr>
          <w:rFonts w:cs="Times New Roman"/>
          <w:sz w:val="28"/>
          <w:szCs w:val="28"/>
        </w:rPr>
        <w:t xml:space="preserve">và các cơ quan liên quan căn cứ quy định thi đua khen thưởng và thành tích thực tế, khẩn trương </w:t>
      </w:r>
      <w:r>
        <w:rPr>
          <w:rFonts w:cs="Times New Roman"/>
          <w:sz w:val="28"/>
          <w:szCs w:val="28"/>
        </w:rPr>
        <w:t xml:space="preserve">tham mưu </w:t>
      </w:r>
      <w:r w:rsidR="00F159A3">
        <w:rPr>
          <w:rFonts w:cs="Times New Roman"/>
          <w:sz w:val="28"/>
          <w:szCs w:val="28"/>
        </w:rPr>
        <w:t>đề xuất</w:t>
      </w:r>
      <w:r>
        <w:rPr>
          <w:rFonts w:cs="Times New Roman"/>
          <w:sz w:val="28"/>
          <w:szCs w:val="28"/>
        </w:rPr>
        <w:t xml:space="preserve"> </w:t>
      </w:r>
      <w:r w:rsidR="00304FE9">
        <w:rPr>
          <w:rFonts w:cs="Times New Roman"/>
          <w:sz w:val="28"/>
          <w:szCs w:val="28"/>
        </w:rPr>
        <w:t xml:space="preserve">khen thưởng </w:t>
      </w:r>
      <w:r w:rsidR="00F159A3">
        <w:rPr>
          <w:rFonts w:cs="Times New Roman"/>
          <w:sz w:val="28"/>
          <w:szCs w:val="28"/>
        </w:rPr>
        <w:t xml:space="preserve">các tập thể, cá nhân có </w:t>
      </w:r>
      <w:r w:rsidR="00304FE9">
        <w:rPr>
          <w:rFonts w:cs="Times New Roman"/>
          <w:sz w:val="28"/>
          <w:szCs w:val="28"/>
        </w:rPr>
        <w:t xml:space="preserve">thành tích xuất sắc </w:t>
      </w:r>
      <w:r w:rsidR="00304FE9">
        <w:rPr>
          <w:rFonts w:cs="Times New Roman"/>
          <w:sz w:val="28"/>
          <w:szCs w:val="28"/>
        </w:rPr>
        <w:lastRenderedPageBreak/>
        <w:t xml:space="preserve">trong công tác vận động </w:t>
      </w:r>
      <w:r w:rsidR="003343A0">
        <w:rPr>
          <w:rFonts w:cs="Times New Roman"/>
          <w:sz w:val="28"/>
          <w:szCs w:val="28"/>
        </w:rPr>
        <w:t>chung tay ủng hộ Chương trình “Sóng và máy tính cho em” trên địa bàn tỉnh</w:t>
      </w:r>
      <w:r w:rsidR="00F159A3">
        <w:rPr>
          <w:rFonts w:cs="Times New Roman"/>
          <w:sz w:val="28"/>
          <w:szCs w:val="28"/>
        </w:rPr>
        <w:t xml:space="preserve">, trình UBND tỉnh </w:t>
      </w:r>
      <w:r w:rsidR="00CE2E0E">
        <w:rPr>
          <w:rFonts w:cs="Times New Roman"/>
          <w:sz w:val="28"/>
          <w:szCs w:val="28"/>
        </w:rPr>
        <w:t>trong tháng 03/2022</w:t>
      </w:r>
      <w:r w:rsidR="00F159A3">
        <w:rPr>
          <w:rFonts w:cs="Times New Roman"/>
          <w:sz w:val="28"/>
          <w:szCs w:val="28"/>
        </w:rPr>
        <w:t xml:space="preserve"> để xem xét</w:t>
      </w:r>
      <w:r w:rsidR="000F2B46">
        <w:rPr>
          <w:rFonts w:cs="Times New Roman"/>
          <w:sz w:val="28"/>
          <w:szCs w:val="28"/>
        </w:rPr>
        <w:t>.</w:t>
      </w:r>
    </w:p>
    <w:p w14:paraId="43D4F779" w14:textId="03BF8494" w:rsidR="00696FAC" w:rsidRDefault="003807C3" w:rsidP="00AD1824">
      <w:pPr>
        <w:spacing w:before="120" w:after="12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96FAC">
        <w:rPr>
          <w:rFonts w:cs="Times New Roman"/>
          <w:sz w:val="28"/>
          <w:szCs w:val="28"/>
        </w:rPr>
        <w:t xml:space="preserve">. Chấm dứt hiệu lực Công văn số 6714/UBND-VXNV ngày 09/12/2021 của Ủy ban nhân dân tỉnh về việc chung tay ủng hộ Chương trình “Sóng và máy tính cho em” trên địa bàn tỉnh </w:t>
      </w:r>
      <w:r>
        <w:rPr>
          <w:rFonts w:cs="Times New Roman"/>
          <w:sz w:val="28"/>
          <w:szCs w:val="28"/>
        </w:rPr>
        <w:t xml:space="preserve">kể </w:t>
      </w:r>
      <w:r w:rsidR="00696FAC">
        <w:rPr>
          <w:rFonts w:cs="Times New Roman"/>
          <w:sz w:val="28"/>
          <w:szCs w:val="28"/>
        </w:rPr>
        <w:t xml:space="preserve">từ ngày </w:t>
      </w:r>
      <w:r>
        <w:rPr>
          <w:rFonts w:cs="Times New Roman"/>
          <w:sz w:val="28"/>
          <w:szCs w:val="28"/>
        </w:rPr>
        <w:t>01</w:t>
      </w:r>
      <w:r w:rsidR="00696FAC">
        <w:rPr>
          <w:rFonts w:cs="Times New Roman"/>
          <w:sz w:val="28"/>
          <w:szCs w:val="28"/>
        </w:rPr>
        <w:t>/0</w:t>
      </w:r>
      <w:r>
        <w:rPr>
          <w:rFonts w:cs="Times New Roman"/>
          <w:sz w:val="28"/>
          <w:szCs w:val="28"/>
        </w:rPr>
        <w:t>3</w:t>
      </w:r>
      <w:r w:rsidR="00696FAC">
        <w:rPr>
          <w:rFonts w:cs="Times New Roman"/>
          <w:sz w:val="28"/>
          <w:szCs w:val="28"/>
        </w:rPr>
        <w:t>/2022.</w:t>
      </w:r>
      <w:r w:rsidR="00E8196A">
        <w:rPr>
          <w:rFonts w:cs="Times New Roman"/>
          <w:sz w:val="28"/>
          <w:szCs w:val="28"/>
        </w:rPr>
        <w:t>/.</w:t>
      </w:r>
    </w:p>
    <w:p w14:paraId="654DCF8B" w14:textId="36D7E002" w:rsidR="00E8196A" w:rsidRDefault="00E8196A" w:rsidP="00E8196A">
      <w:pPr>
        <w:spacing w:before="120" w:after="120"/>
        <w:ind w:firstLine="720"/>
        <w:jc w:val="center"/>
        <w:rPr>
          <w:rFonts w:cs="Times New Roman"/>
          <w:i/>
          <w:iCs/>
          <w:sz w:val="28"/>
          <w:szCs w:val="28"/>
        </w:rPr>
      </w:pPr>
      <w:r w:rsidRPr="00E8196A">
        <w:rPr>
          <w:rFonts w:cs="Times New Roman"/>
          <w:i/>
          <w:iCs/>
          <w:sz w:val="28"/>
          <w:szCs w:val="28"/>
        </w:rPr>
        <w:t>(Đính kèm Báo cáo số 275/BC-SGDĐT ngày 14/02/2022 của Sở Giáo dục và Đào tạo)</w:t>
      </w:r>
      <w:r w:rsidR="004B3434">
        <w:rPr>
          <w:rFonts w:cs="Times New Roman"/>
          <w:i/>
          <w:iCs/>
          <w:sz w:val="28"/>
          <w:szCs w:val="28"/>
        </w:rPr>
        <w:t>.</w:t>
      </w:r>
    </w:p>
    <w:p w14:paraId="12B9732A" w14:textId="77777777" w:rsidR="004B3434" w:rsidRPr="00E8196A" w:rsidRDefault="004B3434" w:rsidP="00E8196A">
      <w:pPr>
        <w:spacing w:before="120" w:after="120"/>
        <w:ind w:firstLine="720"/>
        <w:jc w:val="center"/>
        <w:rPr>
          <w:rFonts w:cs="Times New Roman"/>
          <w:i/>
          <w:i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476"/>
      </w:tblGrid>
      <w:tr w:rsidR="001D4130" w14:paraId="1A0D37B6" w14:textId="77777777" w:rsidTr="007C62BB">
        <w:tc>
          <w:tcPr>
            <w:tcW w:w="4786" w:type="dxa"/>
          </w:tcPr>
          <w:p w14:paraId="32689D9F" w14:textId="77777777" w:rsidR="001D4130" w:rsidRDefault="00B02796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Nơi nhận:</w:t>
            </w:r>
          </w:p>
          <w:p w14:paraId="7273B2A0" w14:textId="77777777" w:rsidR="00605448" w:rsidRDefault="00B02796" w:rsidP="006054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="00605448">
              <w:rPr>
                <w:rFonts w:cs="Times New Roman"/>
                <w:sz w:val="22"/>
              </w:rPr>
              <w:t xml:space="preserve"> Như trên;</w:t>
            </w:r>
          </w:p>
          <w:p w14:paraId="0AD0B1A9" w14:textId="62223ACC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Bộ Giáo dục và Đào tạo</w:t>
            </w:r>
            <w:r w:rsidR="002805B0">
              <w:rPr>
                <w:rFonts w:cs="Times New Roman"/>
                <w:sz w:val="22"/>
              </w:rPr>
              <w:t xml:space="preserve"> (b/c)</w:t>
            </w:r>
            <w:r>
              <w:rPr>
                <w:rFonts w:cs="Times New Roman"/>
                <w:sz w:val="22"/>
              </w:rPr>
              <w:t xml:space="preserve">;  </w:t>
            </w:r>
          </w:p>
          <w:p w14:paraId="033C61BC" w14:textId="3FA7B4DB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TT.</w:t>
            </w:r>
            <w:r w:rsidR="000411AB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T</w:t>
            </w:r>
            <w:r w:rsidR="000411AB">
              <w:rPr>
                <w:rFonts w:cs="Times New Roman"/>
                <w:sz w:val="22"/>
              </w:rPr>
              <w:t>ỉnh ủy</w:t>
            </w:r>
            <w:r>
              <w:rPr>
                <w:rFonts w:cs="Times New Roman"/>
                <w:sz w:val="22"/>
              </w:rPr>
              <w:t>; TT.</w:t>
            </w:r>
            <w:r w:rsidR="000411AB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HĐND tỉnh</w:t>
            </w:r>
            <w:r w:rsidR="002805B0">
              <w:rPr>
                <w:rFonts w:cs="Times New Roman"/>
                <w:sz w:val="22"/>
              </w:rPr>
              <w:t xml:space="preserve"> (b/c)</w:t>
            </w:r>
            <w:r>
              <w:rPr>
                <w:rFonts w:cs="Times New Roman"/>
                <w:sz w:val="22"/>
              </w:rPr>
              <w:t>;</w:t>
            </w:r>
          </w:p>
          <w:p w14:paraId="3E7E2BC2" w14:textId="2D4910D7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CT, các PCT.</w:t>
            </w:r>
            <w:r w:rsidR="00EC62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UBND tỉnh;</w:t>
            </w:r>
          </w:p>
          <w:p w14:paraId="09618FBE" w14:textId="77777777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Ban TT UBMTTQVN tỉnh;</w:t>
            </w:r>
          </w:p>
          <w:p w14:paraId="7ED42378" w14:textId="3CA5EA52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Ban Tuyên giáo Tỉnh ủy;</w:t>
            </w:r>
          </w:p>
          <w:p w14:paraId="441B21A8" w14:textId="6647B0A8" w:rsidR="00EA76DB" w:rsidRDefault="00EA76D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Các sở, ban, ngành thuộc UBND tỉnh;</w:t>
            </w:r>
          </w:p>
          <w:p w14:paraId="675110F1" w14:textId="25A71E99" w:rsidR="00EA76DB" w:rsidRDefault="00EA76D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UBND các huyện, thành phố;</w:t>
            </w:r>
          </w:p>
          <w:p w14:paraId="2B619C52" w14:textId="3BA1B79C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EC627D">
              <w:rPr>
                <w:rFonts w:cs="Times New Roman"/>
                <w:sz w:val="22"/>
              </w:rPr>
              <w:t>VPUB: LĐ, KTTH</w:t>
            </w:r>
            <w:r>
              <w:rPr>
                <w:rFonts w:cs="Times New Roman"/>
                <w:sz w:val="22"/>
              </w:rPr>
              <w:t>;</w:t>
            </w:r>
          </w:p>
          <w:p w14:paraId="5AB6B4A7" w14:textId="4B0C9457" w:rsidR="001D4130" w:rsidRDefault="00B0279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Lưu: VT</w:t>
            </w:r>
            <w:r w:rsidR="002E5D7D">
              <w:rPr>
                <w:rFonts w:cs="Times New Roman"/>
                <w:sz w:val="22"/>
              </w:rPr>
              <w:t>. VXNV</w:t>
            </w:r>
            <w:r w:rsidR="00EC627D">
              <w:rPr>
                <w:rFonts w:cs="Times New Roman"/>
                <w:sz w:val="22"/>
              </w:rPr>
              <w:t>. NAM.</w:t>
            </w:r>
          </w:p>
        </w:tc>
        <w:tc>
          <w:tcPr>
            <w:tcW w:w="4678" w:type="dxa"/>
          </w:tcPr>
          <w:p w14:paraId="2E3D53B8" w14:textId="490FE789" w:rsidR="001D4130" w:rsidRDefault="00390F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KT. </w:t>
            </w:r>
            <w:r w:rsidR="00B02796">
              <w:rPr>
                <w:rFonts w:cs="Times New Roman"/>
                <w:b/>
                <w:sz w:val="28"/>
                <w:szCs w:val="28"/>
              </w:rPr>
              <w:t>CHỦ TỊCH</w:t>
            </w:r>
          </w:p>
          <w:p w14:paraId="02324306" w14:textId="4B5C0D71" w:rsidR="00390FE8" w:rsidRDefault="00390F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PHÓ CHỦ TỊCH</w:t>
            </w:r>
          </w:p>
          <w:p w14:paraId="01C186A6" w14:textId="03FD416B" w:rsidR="001D4130" w:rsidRDefault="001D413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85748BF" w14:textId="77777777" w:rsidR="001D4130" w:rsidRDefault="001D413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78EBB4E" w14:textId="3960F762" w:rsidR="001D4130" w:rsidRPr="00F81AF1" w:rsidRDefault="001D413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9B469BD" w14:textId="77777777" w:rsidR="001D4130" w:rsidRPr="007C62BB" w:rsidRDefault="001D4130">
            <w:pPr>
              <w:jc w:val="center"/>
              <w:rPr>
                <w:rFonts w:cs="Times New Roman"/>
                <w:sz w:val="32"/>
                <w:szCs w:val="28"/>
              </w:rPr>
            </w:pPr>
          </w:p>
          <w:p w14:paraId="29495FAA" w14:textId="77777777" w:rsidR="001D4130" w:rsidRDefault="001D413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31C336F" w14:textId="77777777" w:rsidR="002805B0" w:rsidRDefault="002805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EE7B4BA" w14:textId="0D702602" w:rsidR="001D4130" w:rsidRDefault="00390FE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Nguyễn Long Biên</w:t>
            </w:r>
          </w:p>
        </w:tc>
      </w:tr>
    </w:tbl>
    <w:p w14:paraId="2322A19B" w14:textId="758C502C" w:rsidR="001D4130" w:rsidRDefault="001D4130">
      <w:pPr>
        <w:rPr>
          <w:rFonts w:cs="Times New Roman"/>
          <w:b/>
          <w:szCs w:val="24"/>
        </w:rPr>
      </w:pPr>
    </w:p>
    <w:sectPr w:rsidR="001D4130" w:rsidSect="00837B98">
      <w:headerReference w:type="default" r:id="rId6"/>
      <w:headerReference w:type="first" r:id="rId7"/>
      <w:foot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CA1AE" w14:textId="77777777" w:rsidR="00C122A1" w:rsidRDefault="00C122A1">
      <w:r>
        <w:separator/>
      </w:r>
    </w:p>
  </w:endnote>
  <w:endnote w:type="continuationSeparator" w:id="0">
    <w:p w14:paraId="472039DE" w14:textId="77777777" w:rsidR="00C122A1" w:rsidRDefault="00C1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FAF2" w14:textId="77777777" w:rsidR="001D4130" w:rsidRDefault="001D4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6BC4" w14:textId="77777777" w:rsidR="00C122A1" w:rsidRDefault="00C122A1">
      <w:r>
        <w:separator/>
      </w:r>
    </w:p>
  </w:footnote>
  <w:footnote w:type="continuationSeparator" w:id="0">
    <w:p w14:paraId="558C7622" w14:textId="77777777" w:rsidR="00C122A1" w:rsidRDefault="00C1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C6E8" w14:textId="007BC5CC" w:rsidR="001D4130" w:rsidRDefault="00B02796">
    <w:pPr>
      <w:pStyle w:val="Header"/>
      <w:jc w:val="center"/>
    </w:pPr>
    <w:r>
      <w:fldChar w:fldCharType="begin"/>
    </w:r>
    <w:r>
      <w:instrText>PAGE \* MERGEFORMAT</w:instrText>
    </w:r>
    <w:r>
      <w:fldChar w:fldCharType="separate"/>
    </w:r>
    <w:r w:rsidR="004B3434">
      <w:rPr>
        <w:noProof/>
      </w:rPr>
      <w:t>2</w:t>
    </w:r>
    <w:r>
      <w:fldChar w:fldCharType="end"/>
    </w:r>
  </w:p>
  <w:p w14:paraId="0C216C0E" w14:textId="77777777" w:rsidR="001D4130" w:rsidRDefault="001D4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6B02" w14:textId="77777777" w:rsidR="001D4130" w:rsidRDefault="001D4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30"/>
    <w:rsid w:val="000411AB"/>
    <w:rsid w:val="00053622"/>
    <w:rsid w:val="000D2E0B"/>
    <w:rsid w:val="000E14D7"/>
    <w:rsid w:val="000F2B46"/>
    <w:rsid w:val="00165F38"/>
    <w:rsid w:val="00166675"/>
    <w:rsid w:val="001B13D3"/>
    <w:rsid w:val="001D4130"/>
    <w:rsid w:val="0021575D"/>
    <w:rsid w:val="002805B0"/>
    <w:rsid w:val="002934FD"/>
    <w:rsid w:val="002C5DCD"/>
    <w:rsid w:val="002E5D7D"/>
    <w:rsid w:val="00304FE9"/>
    <w:rsid w:val="00324CB6"/>
    <w:rsid w:val="003343A0"/>
    <w:rsid w:val="00353E08"/>
    <w:rsid w:val="00355A0A"/>
    <w:rsid w:val="00380665"/>
    <w:rsid w:val="003807C3"/>
    <w:rsid w:val="00390FE8"/>
    <w:rsid w:val="0039689B"/>
    <w:rsid w:val="003A289E"/>
    <w:rsid w:val="003D7D45"/>
    <w:rsid w:val="00417920"/>
    <w:rsid w:val="004B3434"/>
    <w:rsid w:val="004E44CB"/>
    <w:rsid w:val="005C27A3"/>
    <w:rsid w:val="00605448"/>
    <w:rsid w:val="00614C5F"/>
    <w:rsid w:val="00624188"/>
    <w:rsid w:val="0064016F"/>
    <w:rsid w:val="00654719"/>
    <w:rsid w:val="00663058"/>
    <w:rsid w:val="00663128"/>
    <w:rsid w:val="00696FAC"/>
    <w:rsid w:val="006D49E8"/>
    <w:rsid w:val="00715765"/>
    <w:rsid w:val="00720700"/>
    <w:rsid w:val="007C62BB"/>
    <w:rsid w:val="007D4ED9"/>
    <w:rsid w:val="00820ACD"/>
    <w:rsid w:val="00837B98"/>
    <w:rsid w:val="008751E8"/>
    <w:rsid w:val="00880107"/>
    <w:rsid w:val="008B6D24"/>
    <w:rsid w:val="00955045"/>
    <w:rsid w:val="009C4D9A"/>
    <w:rsid w:val="009E0B19"/>
    <w:rsid w:val="009F7FA1"/>
    <w:rsid w:val="00A03E0A"/>
    <w:rsid w:val="00A75B95"/>
    <w:rsid w:val="00AD1824"/>
    <w:rsid w:val="00AE6BA3"/>
    <w:rsid w:val="00B02796"/>
    <w:rsid w:val="00B72FB9"/>
    <w:rsid w:val="00B92F32"/>
    <w:rsid w:val="00C122A1"/>
    <w:rsid w:val="00C3372C"/>
    <w:rsid w:val="00C83318"/>
    <w:rsid w:val="00C97739"/>
    <w:rsid w:val="00CD23DB"/>
    <w:rsid w:val="00CE2E0E"/>
    <w:rsid w:val="00D66E9F"/>
    <w:rsid w:val="00D81272"/>
    <w:rsid w:val="00DA0E6A"/>
    <w:rsid w:val="00DA3177"/>
    <w:rsid w:val="00DB3C8E"/>
    <w:rsid w:val="00DB7EA4"/>
    <w:rsid w:val="00DD7B31"/>
    <w:rsid w:val="00E60067"/>
    <w:rsid w:val="00E8196A"/>
    <w:rsid w:val="00EA6CA0"/>
    <w:rsid w:val="00EA76DB"/>
    <w:rsid w:val="00EB40A6"/>
    <w:rsid w:val="00EC627D"/>
    <w:rsid w:val="00ED6504"/>
    <w:rsid w:val="00F11384"/>
    <w:rsid w:val="00F159A3"/>
    <w:rsid w:val="00F21DD4"/>
    <w:rsid w:val="00F81AF1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73F"/>
  <w15:docId w15:val="{7914826F-E51A-497A-8A37-B74C7B6D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4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2022-02-15T15:58:00Z</dcterms:created>
  <dc:creator>hienhanh</dc:creator>
  <cp:lastModifiedBy>DINHTUAN</cp:lastModifiedBy>
  <dcterms:modified xsi:type="dcterms:W3CDTF">2022-02-16T03:48:00Z</dcterms:modified>
  <cp:revision>4</cp:revision>
  <dc:title>Phòng Văn xã - Ngoại vụ - UBND Tỉnh Ninh Thuận</dc:title>
</cp:coreProperties>
</file>