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3" w:type="dxa"/>
        <w:jc w:val="center"/>
        <w:tblInd w:w="-445" w:type="dxa"/>
        <w:tblLook w:val="01E0" w:firstRow="1" w:lastRow="1" w:firstColumn="1" w:lastColumn="1" w:noHBand="0" w:noVBand="0"/>
      </w:tblPr>
      <w:tblGrid>
        <w:gridCol w:w="2923"/>
        <w:gridCol w:w="7100"/>
      </w:tblGrid>
      <w:tr w:rsidR="00D34F1C" w:rsidRPr="00751B9C" w:rsidTr="00416B6F">
        <w:trPr>
          <w:trHeight w:val="1278"/>
          <w:jc w:val="center"/>
        </w:trPr>
        <w:tc>
          <w:tcPr>
            <w:tcW w:w="2923" w:type="dxa"/>
          </w:tcPr>
          <w:p w:rsidR="00D34F1C" w:rsidRPr="001B3799" w:rsidRDefault="003E35EF" w:rsidP="001B3799">
            <w:pPr>
              <w:jc w:val="center"/>
              <w:rPr>
                <w:b/>
                <w:bCs/>
                <w:sz w:val="26"/>
                <w:szCs w:val="28"/>
              </w:rPr>
            </w:pPr>
            <w:r w:rsidRPr="001B3799">
              <w:rPr>
                <w:b/>
                <w:bCs/>
                <w:sz w:val="26"/>
                <w:szCs w:val="28"/>
              </w:rPr>
              <w:t>ỦY BAN NHÂN DÂN</w:t>
            </w:r>
          </w:p>
          <w:p w:rsidR="00D34F1C" w:rsidRDefault="00AA1AF4" w:rsidP="001B3799">
            <w:pPr>
              <w:jc w:val="center"/>
              <w:rPr>
                <w:b/>
                <w:sz w:val="28"/>
                <w:szCs w:val="28"/>
              </w:rPr>
            </w:pPr>
            <w:r w:rsidRPr="001B3799">
              <w:rPr>
                <w:b/>
                <w:sz w:val="26"/>
                <w:szCs w:val="28"/>
                <w:lang w:val="vi-VN"/>
              </w:rPr>
              <w:t xml:space="preserve">TỈNH </w:t>
            </w:r>
            <w:r w:rsidR="00D34F1C" w:rsidRPr="001B3799">
              <w:rPr>
                <w:b/>
                <w:sz w:val="26"/>
                <w:szCs w:val="28"/>
              </w:rPr>
              <w:t>NINH THUẬN</w:t>
            </w:r>
          </w:p>
          <w:p w:rsidR="001B3799" w:rsidRPr="00400F6A" w:rsidRDefault="001B3799" w:rsidP="001B3799">
            <w:pPr>
              <w:jc w:val="center"/>
              <w:rPr>
                <w:b/>
                <w:sz w:val="28"/>
                <w:szCs w:val="28"/>
              </w:rPr>
            </w:pPr>
            <w:r>
              <w:rPr>
                <w:b/>
                <w:sz w:val="28"/>
                <w:szCs w:val="28"/>
              </w:rPr>
              <w:t>––––––––</w:t>
            </w:r>
          </w:p>
          <w:p w:rsidR="00D34F1C" w:rsidRPr="003E35EF" w:rsidRDefault="005C1D2D" w:rsidP="001B3799">
            <w:pPr>
              <w:jc w:val="center"/>
              <w:rPr>
                <w:sz w:val="28"/>
                <w:szCs w:val="28"/>
              </w:rPr>
            </w:pPr>
            <w:r>
              <w:rPr>
                <w:sz w:val="28"/>
                <w:szCs w:val="28"/>
              </w:rPr>
              <w:t xml:space="preserve">Số:      </w:t>
            </w:r>
            <w:r w:rsidR="002308F0">
              <w:rPr>
                <w:sz w:val="28"/>
                <w:szCs w:val="28"/>
              </w:rPr>
              <w:t xml:space="preserve">  </w:t>
            </w:r>
            <w:r>
              <w:rPr>
                <w:sz w:val="28"/>
                <w:szCs w:val="28"/>
              </w:rPr>
              <w:t xml:space="preserve"> /</w:t>
            </w:r>
            <w:r w:rsidR="003E35EF">
              <w:rPr>
                <w:sz w:val="28"/>
                <w:szCs w:val="28"/>
              </w:rPr>
              <w:t>UBND-TCD</w:t>
            </w:r>
          </w:p>
          <w:p w:rsidR="008D5F5E" w:rsidRPr="005C3479" w:rsidRDefault="008D5F5E" w:rsidP="001B3799">
            <w:pPr>
              <w:jc w:val="both"/>
              <w:rPr>
                <w:sz w:val="26"/>
                <w:szCs w:val="26"/>
              </w:rPr>
            </w:pPr>
            <w:r w:rsidRPr="008D5F5E">
              <w:rPr>
                <w:sz w:val="26"/>
                <w:szCs w:val="26"/>
              </w:rPr>
              <w:t xml:space="preserve">V/v </w:t>
            </w:r>
            <w:r w:rsidR="00DD36D0">
              <w:rPr>
                <w:sz w:val="26"/>
                <w:szCs w:val="26"/>
              </w:rPr>
              <w:t>tăng cường phòng ngừa, đấu tranh với tội phạm và vi phạm</w:t>
            </w:r>
            <w:r w:rsidR="00270B5F">
              <w:rPr>
                <w:sz w:val="26"/>
                <w:szCs w:val="26"/>
              </w:rPr>
              <w:t xml:space="preserve"> </w:t>
            </w:r>
            <w:bookmarkStart w:id="0" w:name="_GoBack"/>
            <w:bookmarkEnd w:id="0"/>
            <w:r w:rsidR="00DD36D0">
              <w:rPr>
                <w:sz w:val="26"/>
                <w:szCs w:val="26"/>
              </w:rPr>
              <w:t>pháp luật liên quan đến hoạt động</w:t>
            </w:r>
            <w:r w:rsidR="001B3799">
              <w:rPr>
                <w:sz w:val="26"/>
                <w:szCs w:val="26"/>
              </w:rPr>
              <w:t xml:space="preserve"> </w:t>
            </w:r>
            <w:r w:rsidR="00DD36D0">
              <w:rPr>
                <w:sz w:val="26"/>
                <w:szCs w:val="26"/>
              </w:rPr>
              <w:t>“tín dụng đen” trên địa bàn tỉnh.</w:t>
            </w:r>
          </w:p>
        </w:tc>
        <w:tc>
          <w:tcPr>
            <w:tcW w:w="7100" w:type="dxa"/>
          </w:tcPr>
          <w:p w:rsidR="00D34F1C" w:rsidRPr="00400F6A" w:rsidRDefault="00D34F1C" w:rsidP="001B3799">
            <w:pPr>
              <w:jc w:val="center"/>
              <w:rPr>
                <w:b/>
                <w:bCs/>
                <w:sz w:val="26"/>
                <w:szCs w:val="26"/>
                <w:lang w:val="vi-VN"/>
              </w:rPr>
            </w:pPr>
            <w:r w:rsidRPr="00400F6A">
              <w:rPr>
                <w:b/>
                <w:bCs/>
                <w:sz w:val="26"/>
                <w:szCs w:val="26"/>
                <w:lang w:val="vi-VN"/>
              </w:rPr>
              <w:t>CỘNG HÒA XÃ HỘI CHỦ NGHĨA VIỆT NAM</w:t>
            </w:r>
          </w:p>
          <w:p w:rsidR="00D34F1C" w:rsidRDefault="00D34F1C" w:rsidP="001B3799">
            <w:pPr>
              <w:jc w:val="center"/>
              <w:rPr>
                <w:b/>
                <w:bCs/>
                <w:sz w:val="28"/>
                <w:szCs w:val="28"/>
              </w:rPr>
            </w:pPr>
            <w:r w:rsidRPr="00400F6A">
              <w:rPr>
                <w:b/>
                <w:bCs/>
                <w:sz w:val="28"/>
                <w:szCs w:val="28"/>
              </w:rPr>
              <w:t>Độc lập - Tự do - Hạnh phúc</w:t>
            </w:r>
          </w:p>
          <w:p w:rsidR="001B3799" w:rsidRPr="00400F6A" w:rsidRDefault="001B3799" w:rsidP="001B3799">
            <w:pPr>
              <w:jc w:val="center"/>
              <w:rPr>
                <w:b/>
                <w:sz w:val="28"/>
                <w:szCs w:val="28"/>
              </w:rPr>
            </w:pPr>
            <w:r>
              <w:rPr>
                <w:b/>
                <w:bCs/>
                <w:sz w:val="28"/>
                <w:szCs w:val="28"/>
              </w:rPr>
              <w:t>––––––––––––––––––––––</w:t>
            </w:r>
          </w:p>
          <w:p w:rsidR="00D34F1C" w:rsidRPr="001053C6" w:rsidRDefault="005F68F9" w:rsidP="001B3799">
            <w:pPr>
              <w:jc w:val="center"/>
              <w:rPr>
                <w:sz w:val="28"/>
                <w:szCs w:val="28"/>
              </w:rPr>
            </w:pPr>
            <w:r>
              <w:rPr>
                <w:i/>
                <w:iCs/>
                <w:sz w:val="28"/>
                <w:szCs w:val="28"/>
              </w:rPr>
              <w:t xml:space="preserve">  </w:t>
            </w:r>
            <w:r w:rsidR="00D34F1C" w:rsidRPr="001053C6">
              <w:rPr>
                <w:i/>
                <w:iCs/>
                <w:sz w:val="28"/>
                <w:szCs w:val="28"/>
              </w:rPr>
              <w:t xml:space="preserve">Ninh Thuận, ngày        tháng </w:t>
            </w:r>
            <w:r w:rsidR="00DD36D0">
              <w:rPr>
                <w:i/>
                <w:iCs/>
                <w:sz w:val="28"/>
                <w:szCs w:val="28"/>
              </w:rPr>
              <w:t xml:space="preserve"> </w:t>
            </w:r>
            <w:r w:rsidR="001B3799">
              <w:rPr>
                <w:i/>
                <w:iCs/>
                <w:sz w:val="28"/>
                <w:szCs w:val="28"/>
              </w:rPr>
              <w:t>3</w:t>
            </w:r>
            <w:r w:rsidR="00DD36D0">
              <w:rPr>
                <w:i/>
                <w:iCs/>
                <w:sz w:val="28"/>
                <w:szCs w:val="28"/>
              </w:rPr>
              <w:t xml:space="preserve"> </w:t>
            </w:r>
            <w:r w:rsidR="001053C6">
              <w:rPr>
                <w:i/>
                <w:iCs/>
                <w:sz w:val="28"/>
                <w:szCs w:val="28"/>
              </w:rPr>
              <w:t xml:space="preserve"> năm 202</w:t>
            </w:r>
            <w:r w:rsidR="00CF2417">
              <w:rPr>
                <w:i/>
                <w:iCs/>
                <w:sz w:val="28"/>
                <w:szCs w:val="28"/>
              </w:rPr>
              <w:t>3</w:t>
            </w:r>
          </w:p>
        </w:tc>
      </w:tr>
    </w:tbl>
    <w:p w:rsidR="00FC1D96" w:rsidRPr="00817526" w:rsidRDefault="008501B7" w:rsidP="001B3799">
      <w:pPr>
        <w:rPr>
          <w:sz w:val="38"/>
          <w:szCs w:val="28"/>
          <w:lang w:val="vi-VN"/>
        </w:rPr>
      </w:pPr>
      <w:r>
        <w:rPr>
          <w:b/>
          <w:sz w:val="28"/>
          <w:szCs w:val="28"/>
          <w:lang w:val="vi-VN"/>
        </w:rPr>
        <w:tab/>
      </w:r>
    </w:p>
    <w:tbl>
      <w:tblPr>
        <w:tblW w:w="0" w:type="auto"/>
        <w:jc w:val="center"/>
        <w:tblInd w:w="108" w:type="dxa"/>
        <w:tblLook w:val="04A0" w:firstRow="1" w:lastRow="0" w:firstColumn="1" w:lastColumn="0" w:noHBand="0" w:noVBand="1"/>
      </w:tblPr>
      <w:tblGrid>
        <w:gridCol w:w="2418"/>
        <w:gridCol w:w="6781"/>
      </w:tblGrid>
      <w:tr w:rsidR="00817526" w:rsidRPr="00817526" w:rsidTr="00817526">
        <w:trPr>
          <w:trHeight w:val="350"/>
          <w:jc w:val="center"/>
        </w:trPr>
        <w:tc>
          <w:tcPr>
            <w:tcW w:w="2418" w:type="dxa"/>
            <w:hideMark/>
          </w:tcPr>
          <w:p w:rsidR="00817526" w:rsidRPr="00817526" w:rsidRDefault="00817526">
            <w:pPr>
              <w:autoSpaceDE w:val="0"/>
              <w:autoSpaceDN w:val="0"/>
              <w:spacing w:before="40" w:after="40"/>
              <w:jc w:val="right"/>
              <w:rPr>
                <w:bCs/>
                <w:color w:val="000000"/>
                <w:spacing w:val="2"/>
                <w:sz w:val="28"/>
                <w:szCs w:val="28"/>
              </w:rPr>
            </w:pPr>
            <w:r w:rsidRPr="00817526">
              <w:rPr>
                <w:bCs/>
                <w:color w:val="000000"/>
                <w:spacing w:val="2"/>
                <w:sz w:val="28"/>
                <w:szCs w:val="28"/>
              </w:rPr>
              <w:t>Kính gửi:</w:t>
            </w:r>
          </w:p>
        </w:tc>
        <w:tc>
          <w:tcPr>
            <w:tcW w:w="6781" w:type="dxa"/>
          </w:tcPr>
          <w:p w:rsidR="00817526" w:rsidRPr="00817526" w:rsidRDefault="00817526">
            <w:pPr>
              <w:spacing w:before="40" w:after="40"/>
              <w:jc w:val="both"/>
              <w:rPr>
                <w:bCs/>
                <w:color w:val="000000"/>
                <w:spacing w:val="2"/>
                <w:sz w:val="28"/>
                <w:szCs w:val="28"/>
              </w:rPr>
            </w:pPr>
          </w:p>
          <w:p w:rsidR="00817526" w:rsidRPr="00817526" w:rsidRDefault="00817526">
            <w:pPr>
              <w:spacing w:before="40" w:after="40"/>
              <w:jc w:val="both"/>
              <w:rPr>
                <w:bCs/>
                <w:color w:val="000000"/>
                <w:spacing w:val="2"/>
                <w:sz w:val="28"/>
                <w:szCs w:val="28"/>
              </w:rPr>
            </w:pPr>
            <w:r w:rsidRPr="00817526">
              <w:rPr>
                <w:bCs/>
                <w:color w:val="000000"/>
                <w:spacing w:val="2"/>
                <w:sz w:val="28"/>
                <w:szCs w:val="28"/>
              </w:rPr>
              <w:t>- Mặt trận Tổ quốc và các tổ chức chính trị - xã hội tỉnh;</w:t>
            </w:r>
          </w:p>
          <w:p w:rsidR="00817526" w:rsidRPr="00817526" w:rsidRDefault="00817526">
            <w:pPr>
              <w:spacing w:before="40" w:after="40"/>
              <w:jc w:val="both"/>
              <w:rPr>
                <w:bCs/>
                <w:color w:val="000000"/>
                <w:spacing w:val="2"/>
                <w:sz w:val="28"/>
                <w:szCs w:val="28"/>
              </w:rPr>
            </w:pPr>
            <w:r w:rsidRPr="00817526">
              <w:rPr>
                <w:bCs/>
                <w:color w:val="000000"/>
                <w:spacing w:val="2"/>
                <w:sz w:val="28"/>
                <w:szCs w:val="28"/>
              </w:rPr>
              <w:t>- Các Sở, ban, ngành cấp tỉnh;</w:t>
            </w:r>
          </w:p>
          <w:p w:rsidR="00817526" w:rsidRPr="00817526" w:rsidRDefault="00817526">
            <w:pPr>
              <w:spacing w:before="40" w:after="40"/>
              <w:jc w:val="both"/>
              <w:rPr>
                <w:bCs/>
                <w:color w:val="000000"/>
                <w:spacing w:val="2"/>
                <w:sz w:val="28"/>
                <w:szCs w:val="28"/>
              </w:rPr>
            </w:pPr>
            <w:r w:rsidRPr="00817526">
              <w:rPr>
                <w:bCs/>
                <w:color w:val="000000"/>
                <w:spacing w:val="2"/>
                <w:sz w:val="28"/>
                <w:szCs w:val="28"/>
              </w:rPr>
              <w:t>- Các đơn vị sự nghiệp thuộc UBND tỉnh;</w:t>
            </w:r>
          </w:p>
          <w:p w:rsidR="00817526" w:rsidRPr="00817526" w:rsidRDefault="00817526">
            <w:pPr>
              <w:spacing w:before="40" w:after="40"/>
              <w:jc w:val="both"/>
              <w:rPr>
                <w:bCs/>
                <w:color w:val="000000"/>
                <w:spacing w:val="2"/>
                <w:sz w:val="28"/>
                <w:szCs w:val="28"/>
              </w:rPr>
            </w:pPr>
            <w:r w:rsidRPr="00817526">
              <w:rPr>
                <w:bCs/>
                <w:color w:val="000000"/>
                <w:spacing w:val="2"/>
                <w:sz w:val="28"/>
                <w:szCs w:val="28"/>
              </w:rPr>
              <w:t>- Các cơ quan Trung ương đóng trên địa bàn tỉnh;</w:t>
            </w:r>
          </w:p>
          <w:p w:rsidR="00817526" w:rsidRPr="00817526" w:rsidRDefault="00817526">
            <w:pPr>
              <w:spacing w:before="40" w:after="40"/>
              <w:jc w:val="both"/>
              <w:rPr>
                <w:bCs/>
                <w:color w:val="000000"/>
                <w:spacing w:val="2"/>
                <w:sz w:val="28"/>
                <w:szCs w:val="28"/>
              </w:rPr>
            </w:pPr>
            <w:r w:rsidRPr="00817526">
              <w:rPr>
                <w:bCs/>
                <w:color w:val="000000"/>
                <w:spacing w:val="2"/>
                <w:sz w:val="28"/>
                <w:szCs w:val="28"/>
              </w:rPr>
              <w:t>- Các doanh nghiệp Nhà nước;</w:t>
            </w:r>
          </w:p>
          <w:p w:rsidR="00817526" w:rsidRPr="00817526" w:rsidRDefault="00817526">
            <w:pPr>
              <w:autoSpaceDE w:val="0"/>
              <w:autoSpaceDN w:val="0"/>
              <w:spacing w:before="40" w:after="40"/>
              <w:jc w:val="both"/>
              <w:rPr>
                <w:bCs/>
                <w:color w:val="000000"/>
                <w:spacing w:val="2"/>
                <w:sz w:val="28"/>
                <w:szCs w:val="28"/>
              </w:rPr>
            </w:pPr>
            <w:r w:rsidRPr="00817526">
              <w:rPr>
                <w:bCs/>
                <w:color w:val="000000"/>
                <w:spacing w:val="2"/>
                <w:sz w:val="28"/>
                <w:szCs w:val="28"/>
              </w:rPr>
              <w:t>- Ủy ban nhân dân các huyện, thành phố.</w:t>
            </w:r>
          </w:p>
        </w:tc>
      </w:tr>
    </w:tbl>
    <w:p w:rsidR="00817526" w:rsidRDefault="00817526" w:rsidP="00CF2417">
      <w:pPr>
        <w:spacing w:before="120" w:after="60"/>
        <w:ind w:firstLine="720"/>
        <w:jc w:val="both"/>
        <w:rPr>
          <w:sz w:val="28"/>
          <w:szCs w:val="28"/>
        </w:rPr>
      </w:pPr>
    </w:p>
    <w:p w:rsidR="00CF2417" w:rsidRPr="00607BB5" w:rsidRDefault="00CF2417" w:rsidP="00607BB5">
      <w:pPr>
        <w:spacing w:before="120"/>
        <w:ind w:firstLine="851"/>
        <w:jc w:val="both"/>
        <w:rPr>
          <w:bCs/>
          <w:color w:val="000000"/>
          <w:spacing w:val="2"/>
          <w:sz w:val="28"/>
          <w:szCs w:val="28"/>
        </w:rPr>
      </w:pPr>
      <w:r w:rsidRPr="00607BB5">
        <w:rPr>
          <w:bCs/>
          <w:color w:val="000000"/>
          <w:spacing w:val="2"/>
          <w:sz w:val="28"/>
          <w:szCs w:val="28"/>
        </w:rPr>
        <w:t xml:space="preserve">Thời gian gần đây, hoạt động “ tín dụng đen” </w:t>
      </w:r>
      <w:r w:rsidR="006C0481" w:rsidRPr="00607BB5">
        <w:rPr>
          <w:bCs/>
          <w:color w:val="000000"/>
          <w:spacing w:val="2"/>
          <w:sz w:val="28"/>
          <w:szCs w:val="28"/>
        </w:rPr>
        <w:t xml:space="preserve">ở một số tỉnh </w:t>
      </w:r>
      <w:r w:rsidRPr="00607BB5">
        <w:rPr>
          <w:bCs/>
          <w:color w:val="000000"/>
          <w:spacing w:val="2"/>
          <w:sz w:val="28"/>
          <w:szCs w:val="28"/>
        </w:rPr>
        <w:t xml:space="preserve">có dấu hiệu </w:t>
      </w:r>
      <w:r w:rsidR="00AD44E1" w:rsidRPr="00607BB5">
        <w:rPr>
          <w:bCs/>
          <w:color w:val="000000"/>
          <w:spacing w:val="2"/>
          <w:sz w:val="28"/>
          <w:szCs w:val="28"/>
        </w:rPr>
        <w:t xml:space="preserve">hoạt động </w:t>
      </w:r>
      <w:r w:rsidRPr="00607BB5">
        <w:rPr>
          <w:bCs/>
          <w:color w:val="000000"/>
          <w:spacing w:val="2"/>
          <w:sz w:val="28"/>
          <w:szCs w:val="28"/>
        </w:rPr>
        <w:t>phức tạp trở lại, tái diễn tình trạng quảng cáo, cho vay trên nền tảng công nghệ, phát tán, treo, dán tờ rơi</w:t>
      </w:r>
      <w:r w:rsidR="00AD44E1" w:rsidRPr="00607BB5">
        <w:rPr>
          <w:bCs/>
          <w:color w:val="000000"/>
          <w:spacing w:val="2"/>
          <w:sz w:val="28"/>
          <w:szCs w:val="28"/>
        </w:rPr>
        <w:t xml:space="preserve">, quảng cáo, mời chào cho vay </w:t>
      </w:r>
      <w:r w:rsidR="00AD44E1" w:rsidRPr="009A4DB1">
        <w:rPr>
          <w:bCs/>
          <w:i/>
          <w:color w:val="000000"/>
          <w:spacing w:val="2"/>
          <w:sz w:val="28"/>
          <w:szCs w:val="28"/>
        </w:rPr>
        <w:t>(</w:t>
      </w:r>
      <w:r w:rsidRPr="009A4DB1">
        <w:rPr>
          <w:bCs/>
          <w:i/>
          <w:color w:val="000000"/>
          <w:spacing w:val="2"/>
          <w:sz w:val="28"/>
          <w:szCs w:val="28"/>
        </w:rPr>
        <w:t>vay nóng, vay nhanh, vay không thế chấp</w:t>
      </w:r>
      <w:r w:rsidR="001B3799" w:rsidRPr="009A4DB1">
        <w:rPr>
          <w:bCs/>
          <w:i/>
          <w:color w:val="000000"/>
          <w:spacing w:val="2"/>
          <w:sz w:val="28"/>
          <w:szCs w:val="28"/>
        </w:rPr>
        <w:t>,</w:t>
      </w:r>
      <w:r w:rsidRPr="009A4DB1">
        <w:rPr>
          <w:bCs/>
          <w:i/>
          <w:color w:val="000000"/>
          <w:spacing w:val="2"/>
          <w:sz w:val="28"/>
          <w:szCs w:val="28"/>
        </w:rPr>
        <w:t>...)</w:t>
      </w:r>
      <w:r w:rsidRPr="00607BB5">
        <w:rPr>
          <w:bCs/>
          <w:color w:val="000000"/>
          <w:spacing w:val="2"/>
          <w:sz w:val="28"/>
          <w:szCs w:val="28"/>
        </w:rPr>
        <w:t>, nhất là tại</w:t>
      </w:r>
      <w:r w:rsidR="006C0481" w:rsidRPr="00607BB5">
        <w:rPr>
          <w:bCs/>
          <w:color w:val="000000"/>
          <w:spacing w:val="2"/>
          <w:sz w:val="28"/>
          <w:szCs w:val="28"/>
        </w:rPr>
        <w:t xml:space="preserve"> các khu dân cư</w:t>
      </w:r>
      <w:r w:rsidR="005E6AB5" w:rsidRPr="00607BB5">
        <w:rPr>
          <w:bCs/>
          <w:color w:val="000000"/>
          <w:spacing w:val="2"/>
          <w:sz w:val="28"/>
          <w:szCs w:val="28"/>
        </w:rPr>
        <w:t xml:space="preserve"> vùng biển</w:t>
      </w:r>
      <w:r w:rsidR="006C0481" w:rsidRPr="00607BB5">
        <w:rPr>
          <w:bCs/>
          <w:color w:val="000000"/>
          <w:spacing w:val="2"/>
          <w:sz w:val="28"/>
          <w:szCs w:val="28"/>
        </w:rPr>
        <w:t xml:space="preserve">, </w:t>
      </w:r>
      <w:r w:rsidR="005E6AB5" w:rsidRPr="00607BB5">
        <w:rPr>
          <w:bCs/>
          <w:color w:val="000000"/>
          <w:spacing w:val="2"/>
          <w:sz w:val="28"/>
          <w:szCs w:val="28"/>
        </w:rPr>
        <w:t xml:space="preserve">các </w:t>
      </w:r>
      <w:r w:rsidR="006C0481" w:rsidRPr="00607BB5">
        <w:rPr>
          <w:bCs/>
          <w:color w:val="000000"/>
          <w:spacing w:val="2"/>
          <w:sz w:val="28"/>
          <w:szCs w:val="28"/>
        </w:rPr>
        <w:t>chợ,</w:t>
      </w:r>
      <w:r w:rsidR="005E6AB5" w:rsidRPr="00607BB5">
        <w:rPr>
          <w:bCs/>
          <w:color w:val="000000"/>
          <w:spacing w:val="2"/>
          <w:sz w:val="28"/>
          <w:szCs w:val="28"/>
        </w:rPr>
        <w:t xml:space="preserve"> vùng dân tộc thiểu số,</w:t>
      </w:r>
      <w:r w:rsidR="006C0481" w:rsidRPr="00607BB5">
        <w:rPr>
          <w:bCs/>
          <w:color w:val="000000"/>
          <w:spacing w:val="2"/>
          <w:sz w:val="28"/>
          <w:szCs w:val="28"/>
        </w:rPr>
        <w:t xml:space="preserve"> trường học, cụm công nghiệp</w:t>
      </w:r>
      <w:r w:rsidR="001B3799" w:rsidRPr="00607BB5">
        <w:rPr>
          <w:bCs/>
          <w:color w:val="000000"/>
          <w:spacing w:val="2"/>
          <w:sz w:val="28"/>
          <w:szCs w:val="28"/>
        </w:rPr>
        <w:t>.</w:t>
      </w:r>
      <w:r w:rsidRPr="00607BB5">
        <w:rPr>
          <w:bCs/>
          <w:color w:val="000000"/>
          <w:spacing w:val="2"/>
          <w:sz w:val="28"/>
          <w:szCs w:val="28"/>
        </w:rPr>
        <w:t xml:space="preserve"> Bên cạnh đó, tình trạng các đối tượng nhắn tin, gọi điện, sử dụng mạng xã hội để đe dọa, khủng bố nhằm đòi nợ, siết nợ gây hoang mang, bức xúc trong dư luận.</w:t>
      </w:r>
      <w:r w:rsidR="006C0481" w:rsidRPr="00607BB5">
        <w:rPr>
          <w:bCs/>
          <w:color w:val="000000"/>
          <w:spacing w:val="2"/>
          <w:sz w:val="28"/>
          <w:szCs w:val="28"/>
        </w:rPr>
        <w:t xml:space="preserve"> Trên địa bàn tỉnh</w:t>
      </w:r>
      <w:r w:rsidR="003A5068" w:rsidRPr="00607BB5">
        <w:rPr>
          <w:bCs/>
          <w:color w:val="000000"/>
          <w:spacing w:val="2"/>
          <w:sz w:val="28"/>
          <w:szCs w:val="28"/>
        </w:rPr>
        <w:t>,</w:t>
      </w:r>
      <w:r w:rsidR="006C0481" w:rsidRPr="00607BB5">
        <w:rPr>
          <w:bCs/>
          <w:color w:val="000000"/>
          <w:spacing w:val="2"/>
          <w:sz w:val="28"/>
          <w:szCs w:val="28"/>
        </w:rPr>
        <w:t xml:space="preserve"> tình hình tội phạm và vi phạm pháp luật liên quan đến hoạt động “tín dụng đen” có chiều hướng gia tăng, đặc biệt là số đối tượng từ địa phương khác đến địa bàn tỉnh hoạt động trở lại. Từ đầu năm 2023 đến nay</w:t>
      </w:r>
      <w:r w:rsidR="003A5068" w:rsidRPr="00607BB5">
        <w:rPr>
          <w:bCs/>
          <w:color w:val="000000"/>
          <w:spacing w:val="2"/>
          <w:sz w:val="28"/>
          <w:szCs w:val="28"/>
        </w:rPr>
        <w:t>,</w:t>
      </w:r>
      <w:r w:rsidR="006C0481" w:rsidRPr="00607BB5">
        <w:rPr>
          <w:bCs/>
          <w:color w:val="000000"/>
          <w:spacing w:val="2"/>
          <w:sz w:val="28"/>
          <w:szCs w:val="28"/>
        </w:rPr>
        <w:t xml:space="preserve"> </w:t>
      </w:r>
      <w:r w:rsidR="00C04A91" w:rsidRPr="00607BB5">
        <w:rPr>
          <w:bCs/>
          <w:color w:val="000000"/>
          <w:spacing w:val="2"/>
          <w:sz w:val="28"/>
          <w:szCs w:val="28"/>
        </w:rPr>
        <w:t>qua công tác tuần tra phòng chống tội phạm</w:t>
      </w:r>
      <w:r w:rsidR="003A5068" w:rsidRPr="00607BB5">
        <w:rPr>
          <w:bCs/>
          <w:color w:val="000000"/>
          <w:spacing w:val="2"/>
          <w:sz w:val="28"/>
          <w:szCs w:val="28"/>
        </w:rPr>
        <w:t>,</w:t>
      </w:r>
      <w:r w:rsidR="00C04A91" w:rsidRPr="00607BB5">
        <w:rPr>
          <w:bCs/>
          <w:color w:val="000000"/>
          <w:spacing w:val="2"/>
          <w:sz w:val="28"/>
          <w:szCs w:val="28"/>
        </w:rPr>
        <w:t xml:space="preserve"> Công an tỉnh đã phát hiện bắt 08 vụ/13 đối tượng </w:t>
      </w:r>
      <w:r w:rsidR="00C04A91" w:rsidRPr="009A4DB1">
        <w:rPr>
          <w:bCs/>
          <w:i/>
          <w:color w:val="000000"/>
          <w:spacing w:val="2"/>
          <w:sz w:val="28"/>
          <w:szCs w:val="28"/>
        </w:rPr>
        <w:t>(trong đó có 10 đối tượng ngoài tỉnh như Đắk Lắc, Bình Thuận, Hải Phòng, Ninh Bình, Thanh Hóa, Quảng Bình,...)</w:t>
      </w:r>
      <w:r w:rsidR="00C04A91" w:rsidRPr="00607BB5">
        <w:rPr>
          <w:bCs/>
          <w:color w:val="000000"/>
          <w:spacing w:val="2"/>
          <w:sz w:val="28"/>
          <w:szCs w:val="28"/>
        </w:rPr>
        <w:t xml:space="preserve"> đến địa bàn cho vay, với lãi xuất từ 15% đến 30%/tháng.</w:t>
      </w:r>
    </w:p>
    <w:p w:rsidR="00817526" w:rsidRPr="00607BB5" w:rsidRDefault="00CF2417" w:rsidP="00607BB5">
      <w:pPr>
        <w:spacing w:before="120"/>
        <w:ind w:firstLine="851"/>
        <w:jc w:val="both"/>
        <w:rPr>
          <w:bCs/>
          <w:color w:val="000000"/>
          <w:spacing w:val="2"/>
          <w:sz w:val="28"/>
          <w:szCs w:val="28"/>
        </w:rPr>
      </w:pPr>
      <w:r w:rsidRPr="00607BB5">
        <w:rPr>
          <w:bCs/>
          <w:color w:val="000000"/>
          <w:spacing w:val="2"/>
          <w:sz w:val="28"/>
          <w:szCs w:val="28"/>
        </w:rPr>
        <w:t>T</w:t>
      </w:r>
      <w:r w:rsidR="006E43CE" w:rsidRPr="00607BB5">
        <w:rPr>
          <w:bCs/>
          <w:color w:val="000000"/>
          <w:spacing w:val="2"/>
          <w:sz w:val="28"/>
          <w:szCs w:val="28"/>
        </w:rPr>
        <w:t>hực hiện Chỉ thị</w:t>
      </w:r>
      <w:r w:rsidR="00A51164" w:rsidRPr="00607BB5">
        <w:rPr>
          <w:bCs/>
          <w:color w:val="000000"/>
          <w:spacing w:val="2"/>
          <w:sz w:val="28"/>
          <w:szCs w:val="28"/>
        </w:rPr>
        <w:t xml:space="preserve"> số 12/CT-TTg</w:t>
      </w:r>
      <w:r w:rsidR="00F522D4" w:rsidRPr="00607BB5">
        <w:rPr>
          <w:bCs/>
          <w:color w:val="000000"/>
          <w:spacing w:val="2"/>
          <w:sz w:val="28"/>
          <w:szCs w:val="28"/>
        </w:rPr>
        <w:t xml:space="preserve"> ngày 25/4/2019 của Thủ tướng C</w:t>
      </w:r>
      <w:r w:rsidR="00A51164" w:rsidRPr="00607BB5">
        <w:rPr>
          <w:bCs/>
          <w:color w:val="000000"/>
          <w:spacing w:val="2"/>
          <w:sz w:val="28"/>
          <w:szCs w:val="28"/>
        </w:rPr>
        <w:t>hính phủ</w:t>
      </w:r>
      <w:r w:rsidR="00C04A91" w:rsidRPr="00607BB5">
        <w:rPr>
          <w:bCs/>
          <w:color w:val="000000"/>
          <w:spacing w:val="2"/>
          <w:sz w:val="28"/>
          <w:szCs w:val="28"/>
        </w:rPr>
        <w:t xml:space="preserve"> </w:t>
      </w:r>
      <w:r w:rsidR="00A51164" w:rsidRPr="00607BB5">
        <w:rPr>
          <w:bCs/>
          <w:color w:val="000000"/>
          <w:spacing w:val="2"/>
          <w:sz w:val="28"/>
          <w:szCs w:val="28"/>
        </w:rPr>
        <w:t>về tăng cường phòng</w:t>
      </w:r>
      <w:r w:rsidR="00F522D4" w:rsidRPr="00607BB5">
        <w:rPr>
          <w:bCs/>
          <w:color w:val="000000"/>
          <w:spacing w:val="2"/>
          <w:sz w:val="28"/>
          <w:szCs w:val="28"/>
        </w:rPr>
        <w:t xml:space="preserve"> ngừa, đấu tranh với tội phạm và vi phạm pháp</w:t>
      </w:r>
      <w:r w:rsidR="008D5F5E" w:rsidRPr="00607BB5">
        <w:rPr>
          <w:bCs/>
          <w:color w:val="000000"/>
          <w:spacing w:val="2"/>
          <w:sz w:val="28"/>
          <w:szCs w:val="28"/>
        </w:rPr>
        <w:t xml:space="preserve"> luật liên quan đến hoạt động “</w:t>
      </w:r>
      <w:r w:rsidR="009938A8" w:rsidRPr="00607BB5">
        <w:rPr>
          <w:bCs/>
          <w:color w:val="000000"/>
          <w:spacing w:val="2"/>
          <w:sz w:val="28"/>
          <w:szCs w:val="28"/>
        </w:rPr>
        <w:t>tín dụng đen”</w:t>
      </w:r>
      <w:r w:rsidR="00C04A91" w:rsidRPr="00607BB5">
        <w:rPr>
          <w:bCs/>
          <w:color w:val="000000"/>
          <w:spacing w:val="2"/>
          <w:sz w:val="28"/>
          <w:szCs w:val="28"/>
        </w:rPr>
        <w:t xml:space="preserve"> </w:t>
      </w:r>
      <w:r w:rsidR="00C04A91" w:rsidRPr="009A4DB1">
        <w:rPr>
          <w:bCs/>
          <w:i/>
          <w:color w:val="000000"/>
          <w:spacing w:val="2"/>
          <w:sz w:val="28"/>
          <w:szCs w:val="28"/>
        </w:rPr>
        <w:t>(viết tắt là Chỉ thị 12/CT-TTg)</w:t>
      </w:r>
      <w:r w:rsidR="005C5DB4" w:rsidRPr="00607BB5">
        <w:rPr>
          <w:bCs/>
          <w:color w:val="000000"/>
          <w:spacing w:val="2"/>
          <w:sz w:val="28"/>
          <w:szCs w:val="28"/>
        </w:rPr>
        <w:t>,</w:t>
      </w:r>
      <w:r w:rsidR="005E37BB" w:rsidRPr="00607BB5">
        <w:rPr>
          <w:bCs/>
          <w:color w:val="000000"/>
          <w:spacing w:val="2"/>
          <w:sz w:val="28"/>
          <w:szCs w:val="28"/>
        </w:rPr>
        <w:t xml:space="preserve"> Chủ tịch Ủy ban nhân dân tỉnh </w:t>
      </w:r>
      <w:r w:rsidR="00817526" w:rsidRPr="00607BB5">
        <w:rPr>
          <w:bCs/>
          <w:color w:val="000000"/>
          <w:spacing w:val="2"/>
          <w:sz w:val="28"/>
          <w:szCs w:val="28"/>
        </w:rPr>
        <w:t>đề nghị các cơ quan, đơn vị nêu trên căn cứ chức năng, nhiệm vụ được giao thực hiện một số nội dung sau:</w:t>
      </w:r>
    </w:p>
    <w:p w:rsidR="003524D2" w:rsidRPr="00607BB5" w:rsidRDefault="005E37BB" w:rsidP="00607BB5">
      <w:pPr>
        <w:spacing w:before="120"/>
        <w:ind w:firstLine="851"/>
        <w:jc w:val="both"/>
        <w:rPr>
          <w:bCs/>
          <w:color w:val="000000"/>
          <w:spacing w:val="2"/>
          <w:sz w:val="28"/>
          <w:szCs w:val="28"/>
        </w:rPr>
      </w:pPr>
      <w:r w:rsidRPr="00607BB5">
        <w:rPr>
          <w:b/>
          <w:bCs/>
          <w:color w:val="000000"/>
          <w:spacing w:val="2"/>
          <w:sz w:val="28"/>
          <w:szCs w:val="28"/>
        </w:rPr>
        <w:t>1.</w:t>
      </w:r>
      <w:r w:rsidR="003524D2" w:rsidRPr="00607BB5">
        <w:rPr>
          <w:bCs/>
          <w:color w:val="000000"/>
          <w:spacing w:val="2"/>
          <w:sz w:val="28"/>
          <w:szCs w:val="28"/>
        </w:rPr>
        <w:t xml:space="preserve"> </w:t>
      </w:r>
      <w:r w:rsidR="005E6AB5" w:rsidRPr="00607BB5">
        <w:rPr>
          <w:bCs/>
          <w:color w:val="000000"/>
          <w:spacing w:val="2"/>
          <w:sz w:val="28"/>
          <w:szCs w:val="28"/>
        </w:rPr>
        <w:t xml:space="preserve">Tiếp tục thực hiện nghiêm túc </w:t>
      </w:r>
      <w:r w:rsidR="00817526" w:rsidRPr="00607BB5">
        <w:rPr>
          <w:bCs/>
          <w:color w:val="000000"/>
          <w:spacing w:val="2"/>
          <w:sz w:val="28"/>
          <w:szCs w:val="28"/>
        </w:rPr>
        <w:t xml:space="preserve">các nội dung, nhiệm vụ được phân công theo </w:t>
      </w:r>
      <w:r w:rsidRPr="00607BB5">
        <w:rPr>
          <w:bCs/>
          <w:color w:val="000000"/>
          <w:spacing w:val="2"/>
          <w:sz w:val="28"/>
          <w:szCs w:val="28"/>
        </w:rPr>
        <w:t>Kế hoạch số 2467/KH-UBND ngày 13/6/2019 của Ủy ban nhân dân tỉnh về thực hiện Chỉ thị số 12/CT-TTg trên địa bàn tỉnh</w:t>
      </w:r>
      <w:r w:rsidR="003524D2" w:rsidRPr="00607BB5">
        <w:rPr>
          <w:bCs/>
          <w:color w:val="000000"/>
          <w:spacing w:val="2"/>
          <w:sz w:val="28"/>
          <w:szCs w:val="28"/>
        </w:rPr>
        <w:t>.</w:t>
      </w:r>
    </w:p>
    <w:p w:rsidR="005E37BB" w:rsidRPr="00607BB5" w:rsidRDefault="003524D2" w:rsidP="00607BB5">
      <w:pPr>
        <w:spacing w:before="120"/>
        <w:ind w:firstLine="851"/>
        <w:jc w:val="both"/>
        <w:rPr>
          <w:bCs/>
          <w:color w:val="000000"/>
          <w:spacing w:val="2"/>
          <w:sz w:val="28"/>
          <w:szCs w:val="28"/>
        </w:rPr>
      </w:pPr>
      <w:r w:rsidRPr="00607BB5">
        <w:rPr>
          <w:b/>
          <w:bCs/>
          <w:color w:val="000000"/>
          <w:spacing w:val="2"/>
          <w:sz w:val="28"/>
          <w:szCs w:val="28"/>
        </w:rPr>
        <w:t>2.</w:t>
      </w:r>
      <w:r w:rsidRPr="00607BB5">
        <w:rPr>
          <w:bCs/>
          <w:color w:val="000000"/>
          <w:spacing w:val="2"/>
          <w:sz w:val="28"/>
          <w:szCs w:val="28"/>
        </w:rPr>
        <w:t xml:space="preserve"> </w:t>
      </w:r>
      <w:r w:rsidR="005E6AB5" w:rsidRPr="00607BB5">
        <w:rPr>
          <w:bCs/>
          <w:color w:val="000000"/>
          <w:spacing w:val="2"/>
          <w:sz w:val="28"/>
          <w:szCs w:val="28"/>
        </w:rPr>
        <w:t>Chỉ đạo đ</w:t>
      </w:r>
      <w:r w:rsidR="00B662DA" w:rsidRPr="00607BB5">
        <w:rPr>
          <w:bCs/>
          <w:color w:val="000000"/>
          <w:spacing w:val="2"/>
          <w:sz w:val="28"/>
          <w:szCs w:val="28"/>
        </w:rPr>
        <w:t>ẩy mạnh</w:t>
      </w:r>
      <w:r w:rsidR="005E37BB" w:rsidRPr="00607BB5">
        <w:rPr>
          <w:bCs/>
          <w:color w:val="000000"/>
          <w:spacing w:val="2"/>
          <w:sz w:val="28"/>
          <w:szCs w:val="28"/>
        </w:rPr>
        <w:t xml:space="preserve"> công tác tuyên truyền, phổ biến các quy định của pháp luật, phương thức, thủ đoạn mới và </w:t>
      </w:r>
      <w:r w:rsidR="00383E6A" w:rsidRPr="00607BB5">
        <w:rPr>
          <w:bCs/>
          <w:color w:val="000000"/>
          <w:spacing w:val="2"/>
          <w:sz w:val="28"/>
          <w:szCs w:val="28"/>
        </w:rPr>
        <w:t xml:space="preserve">những hậu quả </w:t>
      </w:r>
      <w:r w:rsidR="005E37BB" w:rsidRPr="00607BB5">
        <w:rPr>
          <w:bCs/>
          <w:color w:val="000000"/>
          <w:spacing w:val="2"/>
          <w:sz w:val="28"/>
          <w:szCs w:val="28"/>
        </w:rPr>
        <w:t xml:space="preserve">liên quan đến hoạt động </w:t>
      </w:r>
      <w:r w:rsidR="005E37BB" w:rsidRPr="00607BB5">
        <w:rPr>
          <w:bCs/>
          <w:color w:val="000000"/>
          <w:spacing w:val="2"/>
          <w:sz w:val="28"/>
          <w:szCs w:val="28"/>
        </w:rPr>
        <w:lastRenderedPageBreak/>
        <w:t>“tín dụng đen”</w:t>
      </w:r>
      <w:r w:rsidR="00383E6A" w:rsidRPr="00607BB5">
        <w:rPr>
          <w:bCs/>
          <w:color w:val="000000"/>
          <w:spacing w:val="2"/>
          <w:sz w:val="28"/>
          <w:szCs w:val="28"/>
        </w:rPr>
        <w:t>;</w:t>
      </w:r>
      <w:r w:rsidR="006B4B8D" w:rsidRPr="00607BB5">
        <w:rPr>
          <w:bCs/>
          <w:color w:val="000000"/>
          <w:spacing w:val="2"/>
          <w:sz w:val="28"/>
          <w:szCs w:val="28"/>
        </w:rPr>
        <w:t xml:space="preserve"> các vụ việc liên quan “tín dụng đen” bị phát hiện, xử lý</w:t>
      </w:r>
      <w:r w:rsidRPr="00607BB5">
        <w:rPr>
          <w:bCs/>
          <w:color w:val="000000"/>
          <w:spacing w:val="2"/>
          <w:sz w:val="28"/>
          <w:szCs w:val="28"/>
        </w:rPr>
        <w:t xml:space="preserve">; </w:t>
      </w:r>
      <w:r w:rsidR="005E6AB5" w:rsidRPr="00607BB5">
        <w:rPr>
          <w:bCs/>
          <w:color w:val="000000"/>
          <w:spacing w:val="2"/>
          <w:sz w:val="28"/>
          <w:szCs w:val="28"/>
        </w:rPr>
        <w:t>tập trung</w:t>
      </w:r>
      <w:r w:rsidR="00844F9A" w:rsidRPr="00607BB5">
        <w:rPr>
          <w:bCs/>
          <w:color w:val="000000"/>
          <w:spacing w:val="2"/>
          <w:sz w:val="28"/>
          <w:szCs w:val="28"/>
        </w:rPr>
        <w:t xml:space="preserve"> tuyên truyền</w:t>
      </w:r>
      <w:r w:rsidR="005E6AB5" w:rsidRPr="00607BB5">
        <w:rPr>
          <w:bCs/>
          <w:color w:val="000000"/>
          <w:spacing w:val="2"/>
          <w:sz w:val="28"/>
          <w:szCs w:val="28"/>
        </w:rPr>
        <w:t xml:space="preserve"> </w:t>
      </w:r>
      <w:r w:rsidR="006B4B8D" w:rsidRPr="00607BB5">
        <w:rPr>
          <w:bCs/>
          <w:color w:val="000000"/>
          <w:spacing w:val="2"/>
          <w:sz w:val="28"/>
          <w:szCs w:val="28"/>
        </w:rPr>
        <w:t>ở những địa bàn</w:t>
      </w:r>
      <w:r w:rsidR="00D945BB" w:rsidRPr="00607BB5">
        <w:rPr>
          <w:bCs/>
          <w:color w:val="000000"/>
          <w:spacing w:val="2"/>
          <w:sz w:val="28"/>
          <w:szCs w:val="28"/>
        </w:rPr>
        <w:t xml:space="preserve"> khu dân cư</w:t>
      </w:r>
      <w:r w:rsidR="006B4B8D" w:rsidRPr="00607BB5">
        <w:rPr>
          <w:bCs/>
          <w:color w:val="000000"/>
          <w:spacing w:val="2"/>
          <w:sz w:val="28"/>
          <w:szCs w:val="28"/>
        </w:rPr>
        <w:t xml:space="preserve"> vùng biển, đồng bào dân tộc thiểu số, khu vực nông thôn, </w:t>
      </w:r>
      <w:r w:rsidR="00D945BB" w:rsidRPr="00607BB5">
        <w:rPr>
          <w:bCs/>
          <w:color w:val="000000"/>
          <w:spacing w:val="2"/>
          <w:sz w:val="28"/>
          <w:szCs w:val="28"/>
        </w:rPr>
        <w:t xml:space="preserve">khu vực các chợ, </w:t>
      </w:r>
      <w:r w:rsidR="006B4B8D" w:rsidRPr="00607BB5">
        <w:rPr>
          <w:bCs/>
          <w:color w:val="000000"/>
          <w:spacing w:val="2"/>
          <w:sz w:val="28"/>
          <w:szCs w:val="28"/>
        </w:rPr>
        <w:t>cụm công nghiệp</w:t>
      </w:r>
      <w:r w:rsidR="00D945BB" w:rsidRPr="00607BB5">
        <w:rPr>
          <w:bCs/>
          <w:color w:val="000000"/>
          <w:spacing w:val="2"/>
          <w:sz w:val="28"/>
          <w:szCs w:val="28"/>
        </w:rPr>
        <w:t>, trường học</w:t>
      </w:r>
      <w:r w:rsidR="009246AC" w:rsidRPr="00607BB5">
        <w:rPr>
          <w:bCs/>
          <w:color w:val="000000"/>
          <w:spacing w:val="2"/>
          <w:sz w:val="28"/>
          <w:szCs w:val="28"/>
        </w:rPr>
        <w:t>;</w:t>
      </w:r>
      <w:r w:rsidR="005E37BB" w:rsidRPr="00607BB5">
        <w:rPr>
          <w:bCs/>
          <w:color w:val="000000"/>
          <w:spacing w:val="2"/>
          <w:sz w:val="28"/>
          <w:szCs w:val="28"/>
        </w:rPr>
        <w:t xml:space="preserve"> </w:t>
      </w:r>
      <w:r w:rsidR="003A1C58" w:rsidRPr="00607BB5">
        <w:rPr>
          <w:bCs/>
          <w:color w:val="000000"/>
          <w:spacing w:val="2"/>
          <w:sz w:val="28"/>
          <w:szCs w:val="28"/>
        </w:rPr>
        <w:t xml:space="preserve">chủ động </w:t>
      </w:r>
      <w:r w:rsidR="005E37BB" w:rsidRPr="00607BB5">
        <w:rPr>
          <w:bCs/>
          <w:color w:val="000000"/>
          <w:spacing w:val="2"/>
          <w:sz w:val="28"/>
          <w:szCs w:val="28"/>
        </w:rPr>
        <w:t>đấu tranh</w:t>
      </w:r>
      <w:r w:rsidR="005E6AB5" w:rsidRPr="00607BB5">
        <w:rPr>
          <w:bCs/>
          <w:color w:val="000000"/>
          <w:spacing w:val="2"/>
          <w:sz w:val="28"/>
          <w:szCs w:val="28"/>
        </w:rPr>
        <w:t xml:space="preserve"> mạnh</w:t>
      </w:r>
      <w:r w:rsidR="005E37BB" w:rsidRPr="00607BB5">
        <w:rPr>
          <w:bCs/>
          <w:color w:val="000000"/>
          <w:spacing w:val="2"/>
          <w:sz w:val="28"/>
          <w:szCs w:val="28"/>
        </w:rPr>
        <w:t xml:space="preserve"> với </w:t>
      </w:r>
      <w:r w:rsidR="003A1C58" w:rsidRPr="00607BB5">
        <w:rPr>
          <w:bCs/>
          <w:color w:val="000000"/>
          <w:spacing w:val="2"/>
          <w:sz w:val="28"/>
          <w:szCs w:val="28"/>
        </w:rPr>
        <w:t xml:space="preserve">các </w:t>
      </w:r>
      <w:r w:rsidR="005E37BB" w:rsidRPr="00607BB5">
        <w:rPr>
          <w:bCs/>
          <w:color w:val="000000"/>
          <w:spacing w:val="2"/>
          <w:sz w:val="28"/>
          <w:szCs w:val="28"/>
        </w:rPr>
        <w:t>băng</w:t>
      </w:r>
      <w:r w:rsidR="003A1C58" w:rsidRPr="00607BB5">
        <w:rPr>
          <w:bCs/>
          <w:color w:val="000000"/>
          <w:spacing w:val="2"/>
          <w:sz w:val="28"/>
          <w:szCs w:val="28"/>
        </w:rPr>
        <w:t>, ổ</w:t>
      </w:r>
      <w:r w:rsidR="005E37BB" w:rsidRPr="00607BB5">
        <w:rPr>
          <w:bCs/>
          <w:color w:val="000000"/>
          <w:spacing w:val="2"/>
          <w:sz w:val="28"/>
          <w:szCs w:val="28"/>
        </w:rPr>
        <w:t xml:space="preserve"> nhóm</w:t>
      </w:r>
      <w:r w:rsidR="005E6AB5" w:rsidRPr="00607BB5">
        <w:rPr>
          <w:bCs/>
          <w:color w:val="000000"/>
          <w:spacing w:val="2"/>
          <w:sz w:val="28"/>
          <w:szCs w:val="28"/>
        </w:rPr>
        <w:t xml:space="preserve">, các đối tượng tổ chức cho vay, không để xảy ra tình trạng </w:t>
      </w:r>
      <w:r w:rsidR="009B4766" w:rsidRPr="00607BB5">
        <w:rPr>
          <w:bCs/>
          <w:color w:val="000000"/>
          <w:spacing w:val="2"/>
          <w:sz w:val="28"/>
          <w:szCs w:val="28"/>
        </w:rPr>
        <w:t xml:space="preserve">quảng cáo, phát tán, treo, dán tờ rơi mời chào cho vay nóng, vay nhanh, vay không thế chấp hoặc đe dọa, khủng bố đòi nợ, </w:t>
      </w:r>
      <w:r w:rsidR="005E6AB5" w:rsidRPr="00607BB5">
        <w:rPr>
          <w:bCs/>
          <w:color w:val="000000"/>
          <w:spacing w:val="2"/>
          <w:sz w:val="28"/>
          <w:szCs w:val="28"/>
        </w:rPr>
        <w:t>siết nợ</w:t>
      </w:r>
      <w:r w:rsidR="009B4766" w:rsidRPr="00607BB5">
        <w:rPr>
          <w:bCs/>
          <w:color w:val="000000"/>
          <w:spacing w:val="2"/>
          <w:sz w:val="28"/>
          <w:szCs w:val="28"/>
        </w:rPr>
        <w:t>.</w:t>
      </w:r>
    </w:p>
    <w:p w:rsidR="000065B1" w:rsidRPr="00607BB5" w:rsidRDefault="003524D2" w:rsidP="00607BB5">
      <w:pPr>
        <w:spacing w:before="120"/>
        <w:ind w:firstLine="851"/>
        <w:jc w:val="both"/>
        <w:rPr>
          <w:bCs/>
          <w:color w:val="000000"/>
          <w:spacing w:val="2"/>
          <w:sz w:val="28"/>
          <w:szCs w:val="28"/>
        </w:rPr>
      </w:pPr>
      <w:r w:rsidRPr="00607BB5">
        <w:rPr>
          <w:b/>
          <w:bCs/>
          <w:color w:val="000000"/>
          <w:spacing w:val="2"/>
          <w:sz w:val="28"/>
          <w:szCs w:val="28"/>
        </w:rPr>
        <w:t>3</w:t>
      </w:r>
      <w:r w:rsidR="005E37BB" w:rsidRPr="00607BB5">
        <w:rPr>
          <w:b/>
          <w:bCs/>
          <w:color w:val="000000"/>
          <w:spacing w:val="2"/>
          <w:sz w:val="28"/>
          <w:szCs w:val="28"/>
        </w:rPr>
        <w:t>.</w:t>
      </w:r>
      <w:r w:rsidR="005E37BB" w:rsidRPr="00607BB5">
        <w:rPr>
          <w:bCs/>
          <w:color w:val="000000"/>
          <w:spacing w:val="2"/>
          <w:sz w:val="28"/>
          <w:szCs w:val="28"/>
        </w:rPr>
        <w:t xml:space="preserve"> Tăng cường công tác quản lý Nhà nước trên lĩnh vực được phân công, nắm chắc tình hình địa bàn, tham mưu thành lập các Đoàn công tác liên ngành kiểm tra, xử lý các cơ sở kinh doanh ngành nghề có điều kiện về an ninh trật tự liên quan đến hoạt động “tín dụng đen” như cơ sở cầm đồ, cho thuê, mua bán xe máy, đòi nợ, kinh doanh tài chính trên địa bàn tỉnh</w:t>
      </w:r>
      <w:r w:rsidR="006B4B8D" w:rsidRPr="00607BB5">
        <w:rPr>
          <w:bCs/>
          <w:color w:val="000000"/>
          <w:spacing w:val="2"/>
          <w:sz w:val="28"/>
          <w:szCs w:val="28"/>
        </w:rPr>
        <w:t xml:space="preserve">; chủ động rà soát, thu hồi sim rác </w:t>
      </w:r>
      <w:r w:rsidR="006B4B8D" w:rsidRPr="003B24B6">
        <w:rPr>
          <w:bCs/>
          <w:i/>
          <w:color w:val="000000"/>
          <w:spacing w:val="2"/>
          <w:sz w:val="28"/>
          <w:szCs w:val="28"/>
        </w:rPr>
        <w:t>(sim đăng ký thuê bao không đúng quy định)</w:t>
      </w:r>
      <w:r w:rsidR="006B4B8D" w:rsidRPr="00607BB5">
        <w:rPr>
          <w:bCs/>
          <w:color w:val="000000"/>
          <w:spacing w:val="2"/>
          <w:sz w:val="28"/>
          <w:szCs w:val="28"/>
        </w:rPr>
        <w:t>; thực hiện tạm dừng cung cấp dịch vụ viễn thông hoặc thu hồi về kho số viễn thông đối với các thuê bao thực hiện nhắn tin, đăng tin, rao vặt, quảng cáo liên quan đến “tín dụng đen”, vay trực tuyến không đúng quy định của pháp luật;</w:t>
      </w:r>
      <w:r w:rsidR="0011541A" w:rsidRPr="00607BB5">
        <w:rPr>
          <w:bCs/>
          <w:color w:val="000000"/>
          <w:spacing w:val="2"/>
          <w:sz w:val="28"/>
          <w:szCs w:val="28"/>
        </w:rPr>
        <w:t xml:space="preserve"> </w:t>
      </w:r>
      <w:r w:rsidR="00611599" w:rsidRPr="00607BB5">
        <w:rPr>
          <w:bCs/>
          <w:color w:val="000000"/>
          <w:spacing w:val="2"/>
          <w:sz w:val="28"/>
          <w:szCs w:val="28"/>
        </w:rPr>
        <w:t xml:space="preserve">kịp thời ngăn chặn, bóc gỡ, tháo dỡ hoặc xóa quảng cáo, tờ rơi, tin nhắn liên quan đến “tín dụng đen”, đòi nợ trái pháp luật; </w:t>
      </w:r>
      <w:r w:rsidR="0011541A" w:rsidRPr="00607BB5">
        <w:rPr>
          <w:bCs/>
          <w:color w:val="000000"/>
          <w:spacing w:val="2"/>
          <w:sz w:val="28"/>
          <w:szCs w:val="28"/>
        </w:rPr>
        <w:t>t</w:t>
      </w:r>
      <w:r w:rsidR="005E37BB" w:rsidRPr="00607BB5">
        <w:rPr>
          <w:bCs/>
          <w:color w:val="000000"/>
          <w:spacing w:val="2"/>
          <w:sz w:val="28"/>
          <w:szCs w:val="28"/>
        </w:rPr>
        <w:t xml:space="preserve">hường xuyên </w:t>
      </w:r>
      <w:r w:rsidR="00383E6A" w:rsidRPr="00607BB5">
        <w:rPr>
          <w:bCs/>
          <w:color w:val="000000"/>
          <w:spacing w:val="2"/>
          <w:sz w:val="28"/>
          <w:szCs w:val="28"/>
        </w:rPr>
        <w:t>thực hiện</w:t>
      </w:r>
      <w:r w:rsidR="005E37BB" w:rsidRPr="00607BB5">
        <w:rPr>
          <w:bCs/>
          <w:color w:val="000000"/>
          <w:spacing w:val="2"/>
          <w:sz w:val="28"/>
          <w:szCs w:val="28"/>
        </w:rPr>
        <w:t xml:space="preserve"> tốt công tác thanh tra, kiểm tra, giám sát các tổ chức tín dụng, đảm bảo hoạt động an toàn, hiệu quả; kịp thời phát hiện các vụ việc có dấu hiệu tội phạm</w:t>
      </w:r>
      <w:r w:rsidR="00383E6A" w:rsidRPr="00607BB5">
        <w:rPr>
          <w:bCs/>
          <w:color w:val="000000"/>
          <w:spacing w:val="2"/>
          <w:sz w:val="28"/>
          <w:szCs w:val="28"/>
        </w:rPr>
        <w:t xml:space="preserve"> và </w:t>
      </w:r>
      <w:r w:rsidR="005E37BB" w:rsidRPr="00607BB5">
        <w:rPr>
          <w:bCs/>
          <w:color w:val="000000"/>
          <w:spacing w:val="2"/>
          <w:sz w:val="28"/>
          <w:szCs w:val="28"/>
        </w:rPr>
        <w:t>xử lý</w:t>
      </w:r>
      <w:r w:rsidR="00383E6A" w:rsidRPr="00607BB5">
        <w:rPr>
          <w:bCs/>
          <w:color w:val="000000"/>
          <w:spacing w:val="2"/>
          <w:sz w:val="28"/>
          <w:szCs w:val="28"/>
        </w:rPr>
        <w:t xml:space="preserve"> nghiêm</w:t>
      </w:r>
      <w:r w:rsidR="005E37BB" w:rsidRPr="00607BB5">
        <w:rPr>
          <w:bCs/>
          <w:color w:val="000000"/>
          <w:spacing w:val="2"/>
          <w:sz w:val="28"/>
          <w:szCs w:val="28"/>
        </w:rPr>
        <w:t xml:space="preserve"> theo quy định pháp luật nhằm nâng cao hiệu quả răn đe, phòng ngừa chung.</w:t>
      </w:r>
    </w:p>
    <w:p w:rsidR="005E37BB" w:rsidRPr="00607BB5" w:rsidRDefault="003524D2" w:rsidP="00607BB5">
      <w:pPr>
        <w:spacing w:before="120"/>
        <w:ind w:firstLine="851"/>
        <w:jc w:val="both"/>
        <w:rPr>
          <w:bCs/>
          <w:color w:val="000000"/>
          <w:spacing w:val="2"/>
          <w:sz w:val="28"/>
          <w:szCs w:val="28"/>
        </w:rPr>
      </w:pPr>
      <w:r w:rsidRPr="00607BB5">
        <w:rPr>
          <w:b/>
          <w:bCs/>
          <w:color w:val="000000"/>
          <w:spacing w:val="2"/>
          <w:sz w:val="28"/>
          <w:szCs w:val="28"/>
        </w:rPr>
        <w:t>4</w:t>
      </w:r>
      <w:r w:rsidR="000065B1" w:rsidRPr="00607BB5">
        <w:rPr>
          <w:b/>
          <w:bCs/>
          <w:color w:val="000000"/>
          <w:spacing w:val="2"/>
          <w:sz w:val="28"/>
          <w:szCs w:val="28"/>
        </w:rPr>
        <w:t>.</w:t>
      </w:r>
      <w:r w:rsidR="000065B1" w:rsidRPr="00607BB5">
        <w:rPr>
          <w:bCs/>
          <w:color w:val="000000"/>
          <w:spacing w:val="2"/>
          <w:sz w:val="28"/>
          <w:szCs w:val="28"/>
        </w:rPr>
        <w:t xml:space="preserve"> </w:t>
      </w:r>
      <w:r w:rsidR="00383E6A" w:rsidRPr="00607BB5">
        <w:rPr>
          <w:bCs/>
          <w:color w:val="000000"/>
          <w:spacing w:val="2"/>
          <w:sz w:val="28"/>
          <w:szCs w:val="28"/>
        </w:rPr>
        <w:t xml:space="preserve">Giao </w:t>
      </w:r>
      <w:r w:rsidR="000065B1" w:rsidRPr="00607BB5">
        <w:rPr>
          <w:bCs/>
          <w:color w:val="000000"/>
          <w:spacing w:val="2"/>
          <w:sz w:val="28"/>
          <w:szCs w:val="28"/>
        </w:rPr>
        <w:t xml:space="preserve">Công an tỉnh chỉ đạo Công an các đơn vị, địa phương chủ động rà soát, phát hiện, áp dụng các biện pháp nghiệp vụ đấu tranh xử lý mạnh các đối tượng liên quan đến hoạt động “tín dụng đen”, đặc biệt là </w:t>
      </w:r>
      <w:r w:rsidR="00383E6A" w:rsidRPr="00607BB5">
        <w:rPr>
          <w:bCs/>
          <w:color w:val="000000"/>
          <w:spacing w:val="2"/>
          <w:sz w:val="28"/>
          <w:szCs w:val="28"/>
        </w:rPr>
        <w:t xml:space="preserve">những trường hợp </w:t>
      </w:r>
      <w:r w:rsidR="000065B1" w:rsidRPr="00607BB5">
        <w:rPr>
          <w:bCs/>
          <w:color w:val="000000"/>
          <w:spacing w:val="2"/>
          <w:sz w:val="28"/>
          <w:szCs w:val="28"/>
        </w:rPr>
        <w:t>sử dụng các đối tượng côn đồ, có tiền án, tiền sự, đối tượng nghiện ma túy,... để tham gia hoặc tiếp tay cho hoạt động cho vay nặng lãi, đòi nợ thuê; không để hình thành các băng nhóm tội phạm phức tạp, hoạt động trá hình tinh vi, gây hoang mang dư luận xã hội, gây ra các vụ án rất nghiêm trọng hoặc đặc biệt nghiêm trọng; căn cứ tình hình hoạt động thực tiễn của đối tượng, chủ động mở các đợt cao điểm tấn công, trấn áp tội phạm để đấu tranh triệt phá các băng nhóm tội phạm hoạt động đòi nợ thuê, cưỡng đoạt tài sản, cho vay lãi nặng,... ; các công ty hoạt động núp bóng liên quan đến hoạt động “tín dụng đen” nhằm đảm bảo an ninh trật tự trên địa bàn tỉnh.</w:t>
      </w:r>
    </w:p>
    <w:p w:rsidR="0011541A" w:rsidRPr="00607BB5" w:rsidRDefault="003524D2" w:rsidP="00607BB5">
      <w:pPr>
        <w:spacing w:before="120"/>
        <w:ind w:firstLine="851"/>
        <w:jc w:val="both"/>
        <w:rPr>
          <w:bCs/>
          <w:color w:val="000000"/>
          <w:spacing w:val="2"/>
          <w:sz w:val="28"/>
          <w:szCs w:val="28"/>
        </w:rPr>
      </w:pPr>
      <w:r w:rsidRPr="00607BB5">
        <w:rPr>
          <w:b/>
          <w:bCs/>
          <w:color w:val="000000"/>
          <w:spacing w:val="2"/>
          <w:sz w:val="28"/>
          <w:szCs w:val="28"/>
        </w:rPr>
        <w:t>5</w:t>
      </w:r>
      <w:r w:rsidR="0011541A" w:rsidRPr="00607BB5">
        <w:rPr>
          <w:b/>
          <w:bCs/>
          <w:color w:val="000000"/>
          <w:spacing w:val="2"/>
          <w:sz w:val="28"/>
          <w:szCs w:val="28"/>
        </w:rPr>
        <w:t>.</w:t>
      </w:r>
      <w:r w:rsidR="0011541A" w:rsidRPr="00607BB5">
        <w:rPr>
          <w:bCs/>
          <w:color w:val="000000"/>
          <w:spacing w:val="2"/>
          <w:sz w:val="28"/>
          <w:szCs w:val="28"/>
        </w:rPr>
        <w:t xml:space="preserve"> </w:t>
      </w:r>
      <w:r w:rsidR="00383E6A" w:rsidRPr="00607BB5">
        <w:rPr>
          <w:bCs/>
          <w:color w:val="000000"/>
          <w:spacing w:val="2"/>
          <w:sz w:val="28"/>
          <w:szCs w:val="28"/>
        </w:rPr>
        <w:t xml:space="preserve">Giao </w:t>
      </w:r>
      <w:r w:rsidR="0011541A" w:rsidRPr="00607BB5">
        <w:rPr>
          <w:bCs/>
          <w:color w:val="000000"/>
          <w:spacing w:val="2"/>
          <w:sz w:val="28"/>
          <w:szCs w:val="28"/>
        </w:rPr>
        <w:t>Ngân hàng Nhà nước Việt Nam</w:t>
      </w:r>
      <w:r w:rsidR="00383E6A" w:rsidRPr="00607BB5">
        <w:rPr>
          <w:bCs/>
          <w:color w:val="000000"/>
          <w:spacing w:val="2"/>
          <w:sz w:val="28"/>
          <w:szCs w:val="28"/>
        </w:rPr>
        <w:t xml:space="preserve"> chi nhánh Ninh Thuận</w:t>
      </w:r>
      <w:r w:rsidR="0011541A" w:rsidRPr="00607BB5">
        <w:rPr>
          <w:bCs/>
          <w:color w:val="000000"/>
          <w:spacing w:val="2"/>
          <w:sz w:val="28"/>
          <w:szCs w:val="28"/>
        </w:rPr>
        <w:t xml:space="preserve"> chỉ đạo các Ngâ</w:t>
      </w:r>
      <w:r w:rsidR="00AD44E1" w:rsidRPr="00607BB5">
        <w:rPr>
          <w:bCs/>
          <w:color w:val="000000"/>
          <w:spacing w:val="2"/>
          <w:sz w:val="28"/>
          <w:szCs w:val="28"/>
        </w:rPr>
        <w:t xml:space="preserve">n hàng, </w:t>
      </w:r>
      <w:r w:rsidR="0011541A" w:rsidRPr="00607BB5">
        <w:rPr>
          <w:bCs/>
          <w:color w:val="000000"/>
          <w:spacing w:val="2"/>
          <w:sz w:val="28"/>
          <w:szCs w:val="28"/>
        </w:rPr>
        <w:t xml:space="preserve">các tổ chức tín dụng </w:t>
      </w:r>
      <w:r w:rsidR="00AD44E1" w:rsidRPr="00607BB5">
        <w:rPr>
          <w:bCs/>
          <w:color w:val="000000"/>
          <w:spacing w:val="2"/>
          <w:sz w:val="28"/>
          <w:szCs w:val="28"/>
        </w:rPr>
        <w:t xml:space="preserve">trên địa bàn tỉnh </w:t>
      </w:r>
      <w:r w:rsidR="0011541A" w:rsidRPr="00607BB5">
        <w:rPr>
          <w:bCs/>
          <w:color w:val="000000"/>
          <w:spacing w:val="2"/>
          <w:sz w:val="28"/>
          <w:szCs w:val="28"/>
        </w:rPr>
        <w:t>tuyên truyền, phổ biến sâu rộng các gói, khoản cho vay ưu đãi đến mọi tầng lớp Nhân dân; phát triển các dịch vụ cho vay, thanh toán trực tuyến, gắn với cải cách thủ tục hành chính, đơn giản quy trình, thủ tục vay vốn theo hướng thuận lợi để mọi tầng lớp Nhân dân dễ dàng tiếp cận với nguồn vốn vay hợp pháp khi có nhu cầu; đẩy nhanh tiến độ trả lời các yêu cầu của cơ quan điều tra về giám định tài chính, cung cấp thông tin, tài liệu phục vụ điều tra vụ án liên quan đến “tín dụng đen”.</w:t>
      </w:r>
    </w:p>
    <w:p w:rsidR="00AD44E1" w:rsidRPr="00607BB5" w:rsidRDefault="003524D2" w:rsidP="00607BB5">
      <w:pPr>
        <w:spacing w:before="120"/>
        <w:ind w:firstLine="851"/>
        <w:jc w:val="both"/>
        <w:rPr>
          <w:bCs/>
          <w:color w:val="000000"/>
          <w:spacing w:val="2"/>
          <w:sz w:val="28"/>
          <w:szCs w:val="28"/>
        </w:rPr>
      </w:pPr>
      <w:r w:rsidRPr="00607BB5">
        <w:rPr>
          <w:b/>
          <w:bCs/>
          <w:color w:val="000000"/>
          <w:spacing w:val="2"/>
          <w:sz w:val="28"/>
          <w:szCs w:val="28"/>
        </w:rPr>
        <w:t>6</w:t>
      </w:r>
      <w:r w:rsidR="00AD44E1" w:rsidRPr="00607BB5">
        <w:rPr>
          <w:b/>
          <w:bCs/>
          <w:color w:val="000000"/>
          <w:spacing w:val="2"/>
          <w:sz w:val="28"/>
          <w:szCs w:val="28"/>
        </w:rPr>
        <w:t>.</w:t>
      </w:r>
      <w:r w:rsidR="00AD44E1" w:rsidRPr="00607BB5">
        <w:rPr>
          <w:bCs/>
          <w:color w:val="000000"/>
          <w:spacing w:val="2"/>
          <w:sz w:val="28"/>
          <w:szCs w:val="28"/>
        </w:rPr>
        <w:t xml:space="preserve"> Đề nghị Viện kiểm sát nhân dân tỉnh, Tòa án nhân dân tỉnh phối hợp chặt chẽ với các cơ quan liên quan trong công tác điều tra, truy tố, xét xử các vụ án liên quan đến hoạt động “tín dụng đen”, bảo đảm nghiêm minh, đúng người, </w:t>
      </w:r>
      <w:r w:rsidR="00AD44E1" w:rsidRPr="00607BB5">
        <w:rPr>
          <w:bCs/>
          <w:color w:val="000000"/>
          <w:spacing w:val="2"/>
          <w:sz w:val="28"/>
          <w:szCs w:val="28"/>
        </w:rPr>
        <w:lastRenderedPageBreak/>
        <w:t>đúng tội, đúng pháp luật, không để oan sai, không bỏ lọt tội phạm; lựa chọn xét xử điểm, lưu động một số vụ án có đối tượng sử dụng công nghệ cao để hoạt động cho vay lãi nặng, các vụ án phạm tội có tổ chức, có tính chất chuyên nghiệp, côn đồ, dùng thủ đoạn tinh vi, xảo quyệt, nhất là các vụ án gây bức xúc trong dư luận Nhân dân nhằm xử lý triệt để, tận gốc các đối tượng phạm tội, trách bỏ lọt tội phạm, nhất là đối với các đối tượng chủ mưu, cầm đầu, thuê mướn đòi nợ nhằm giáo dục, răn đe, phòng ngừa tội phạm.</w:t>
      </w:r>
    </w:p>
    <w:p w:rsidR="009B4766" w:rsidRPr="00607BB5" w:rsidRDefault="003524D2" w:rsidP="00607BB5">
      <w:pPr>
        <w:spacing w:before="120"/>
        <w:ind w:firstLine="851"/>
        <w:jc w:val="both"/>
        <w:rPr>
          <w:bCs/>
          <w:color w:val="000000"/>
          <w:spacing w:val="2"/>
          <w:sz w:val="28"/>
          <w:szCs w:val="28"/>
        </w:rPr>
      </w:pPr>
      <w:r w:rsidRPr="00607BB5">
        <w:rPr>
          <w:b/>
          <w:bCs/>
          <w:color w:val="000000"/>
          <w:spacing w:val="2"/>
          <w:sz w:val="28"/>
          <w:szCs w:val="28"/>
        </w:rPr>
        <w:t>7</w:t>
      </w:r>
      <w:r w:rsidR="005E37BB" w:rsidRPr="00607BB5">
        <w:rPr>
          <w:b/>
          <w:bCs/>
          <w:color w:val="000000"/>
          <w:spacing w:val="2"/>
          <w:sz w:val="28"/>
          <w:szCs w:val="28"/>
        </w:rPr>
        <w:t>.</w:t>
      </w:r>
      <w:r w:rsidR="005E37BB" w:rsidRPr="00607BB5">
        <w:rPr>
          <w:bCs/>
          <w:color w:val="000000"/>
          <w:spacing w:val="2"/>
          <w:sz w:val="28"/>
          <w:szCs w:val="28"/>
        </w:rPr>
        <w:t xml:space="preserve"> </w:t>
      </w:r>
      <w:r w:rsidR="009B4766" w:rsidRPr="00607BB5">
        <w:rPr>
          <w:bCs/>
          <w:color w:val="000000"/>
          <w:spacing w:val="2"/>
          <w:sz w:val="28"/>
          <w:szCs w:val="28"/>
        </w:rPr>
        <w:t xml:space="preserve">Đề nghị </w:t>
      </w:r>
      <w:r w:rsidR="00383E6A" w:rsidRPr="00817526">
        <w:rPr>
          <w:bCs/>
          <w:color w:val="000000"/>
          <w:spacing w:val="2"/>
          <w:sz w:val="28"/>
          <w:szCs w:val="28"/>
        </w:rPr>
        <w:t>Mặt trận Tổ quốc và các tổ chức chính trị - xã hội tỉnh</w:t>
      </w:r>
      <w:r w:rsidR="009B4766" w:rsidRPr="00607BB5">
        <w:rPr>
          <w:bCs/>
          <w:color w:val="000000"/>
          <w:spacing w:val="2"/>
          <w:sz w:val="28"/>
          <w:szCs w:val="28"/>
        </w:rPr>
        <w:t xml:space="preserve"> đẩy mạnh các giải pháp phối hợp vận động toàn dân tham gia phòng ngừa, phát hiện, tố giác tội phạm và vi phạm pháp luật; cảm hóa, giáo dục, cải tạo người phạm tội tại gia đình và cộng đồng dân cư”; tuyên truyền, giáo dục, nâng cao nhận thức và ý thức chấp hành pháp luật trong Nhân dân, kịp thời tuyên truyền nâng cao cảnh giác về phương thức, thủ đoạn và hậu quả do “tín dụng đen” gây ra</w:t>
      </w:r>
      <w:r w:rsidR="00886EFB" w:rsidRPr="00607BB5">
        <w:rPr>
          <w:bCs/>
          <w:color w:val="000000"/>
          <w:spacing w:val="2"/>
          <w:sz w:val="28"/>
          <w:szCs w:val="28"/>
        </w:rPr>
        <w:t>, tập trung khu dân cư vùng biển, vùng đồng b</w:t>
      </w:r>
      <w:r w:rsidR="00607BB5" w:rsidRPr="00607BB5">
        <w:rPr>
          <w:bCs/>
          <w:color w:val="000000"/>
          <w:spacing w:val="2"/>
          <w:sz w:val="28"/>
          <w:szCs w:val="28"/>
        </w:rPr>
        <w:t>à</w:t>
      </w:r>
      <w:r w:rsidR="00886EFB" w:rsidRPr="00607BB5">
        <w:rPr>
          <w:bCs/>
          <w:color w:val="000000"/>
          <w:spacing w:val="2"/>
          <w:sz w:val="28"/>
          <w:szCs w:val="28"/>
        </w:rPr>
        <w:t>o dân tộc thiểu số, các chợ</w:t>
      </w:r>
      <w:r w:rsidR="009B4766" w:rsidRPr="00607BB5">
        <w:rPr>
          <w:bCs/>
          <w:color w:val="000000"/>
          <w:spacing w:val="2"/>
          <w:sz w:val="28"/>
          <w:szCs w:val="28"/>
        </w:rPr>
        <w:t xml:space="preserve"> và các vụ việc vỡ hụi, vỡ họ, lừa đảo thông qua huy động vốn, vận động Nhân dân không tham gia trực tiếp, gián tiếp các hoạt động liên quan đến “tín dụng đen”. Tích cực phối hợp tuyên truyền các chính sách tài chính, hỗ trợ thành viên vay vốn từ ngân hàng, tổ chức tài chính hợp pháp. Đồng thời phối hợp giám sát, ngăn ngừa các hoạt động của đoàn viên, hội viên, cán bộ, công nhân, viên chức tham gia các hoạt động đi vay, cho vay, đòi nợ có liên quan đến “tín dụng đen”.</w:t>
      </w:r>
    </w:p>
    <w:p w:rsidR="00607BB5" w:rsidRPr="00607BB5" w:rsidRDefault="003524D2" w:rsidP="00607BB5">
      <w:pPr>
        <w:spacing w:before="120"/>
        <w:ind w:firstLine="851"/>
        <w:jc w:val="both"/>
        <w:rPr>
          <w:bCs/>
          <w:color w:val="000000"/>
          <w:spacing w:val="2"/>
          <w:sz w:val="28"/>
          <w:szCs w:val="28"/>
        </w:rPr>
      </w:pPr>
      <w:r w:rsidRPr="00607BB5">
        <w:rPr>
          <w:b/>
          <w:bCs/>
          <w:color w:val="000000"/>
          <w:spacing w:val="2"/>
          <w:sz w:val="28"/>
          <w:szCs w:val="28"/>
        </w:rPr>
        <w:t>8</w:t>
      </w:r>
      <w:r w:rsidR="005E37BB" w:rsidRPr="00607BB5">
        <w:rPr>
          <w:b/>
          <w:bCs/>
          <w:color w:val="000000"/>
          <w:spacing w:val="2"/>
          <w:sz w:val="28"/>
          <w:szCs w:val="28"/>
        </w:rPr>
        <w:t>.</w:t>
      </w:r>
      <w:r w:rsidR="005E37BB" w:rsidRPr="00607BB5">
        <w:rPr>
          <w:bCs/>
          <w:color w:val="000000"/>
          <w:spacing w:val="2"/>
          <w:sz w:val="28"/>
          <w:szCs w:val="28"/>
        </w:rPr>
        <w:t xml:space="preserve"> Thực hiện nghiêm túc chế độ thông tin báo cáo theo Kế hoạch số 2467/KH-UBND ngày 13/6/2019 của Ủy ban nhân dân tỉnh </w:t>
      </w:r>
      <w:r w:rsidR="005E37BB" w:rsidRPr="00607BB5">
        <w:rPr>
          <w:bCs/>
          <w:i/>
          <w:color w:val="000000"/>
          <w:spacing w:val="2"/>
          <w:sz w:val="28"/>
          <w:szCs w:val="28"/>
        </w:rPr>
        <w:t>(báo cáo 06 tháng trước ngày 20/5; báo cáo 01 năm trước ngày 20/11)</w:t>
      </w:r>
      <w:r w:rsidR="00607BB5" w:rsidRPr="00607BB5">
        <w:rPr>
          <w:bCs/>
          <w:color w:val="000000"/>
          <w:spacing w:val="2"/>
          <w:sz w:val="28"/>
          <w:szCs w:val="28"/>
        </w:rPr>
        <w:t>,</w:t>
      </w:r>
      <w:r w:rsidR="005E37BB" w:rsidRPr="00607BB5">
        <w:rPr>
          <w:bCs/>
          <w:color w:val="000000"/>
          <w:spacing w:val="2"/>
          <w:sz w:val="28"/>
          <w:szCs w:val="28"/>
        </w:rPr>
        <w:t xml:space="preserve"> gửi về </w:t>
      </w:r>
      <w:r w:rsidR="009B4766" w:rsidRPr="00607BB5">
        <w:rPr>
          <w:bCs/>
          <w:color w:val="000000"/>
          <w:spacing w:val="2"/>
          <w:sz w:val="28"/>
          <w:szCs w:val="28"/>
        </w:rPr>
        <w:t xml:space="preserve">Công an tỉnh để </w:t>
      </w:r>
      <w:r w:rsidR="00607BB5" w:rsidRPr="00607BB5">
        <w:rPr>
          <w:bCs/>
          <w:color w:val="000000"/>
          <w:spacing w:val="2"/>
          <w:sz w:val="28"/>
          <w:szCs w:val="28"/>
        </w:rPr>
        <w:t>tổng hợp</w:t>
      </w:r>
      <w:r w:rsidR="009B4766" w:rsidRPr="00607BB5">
        <w:rPr>
          <w:bCs/>
          <w:color w:val="000000"/>
          <w:spacing w:val="2"/>
          <w:sz w:val="28"/>
          <w:szCs w:val="28"/>
        </w:rPr>
        <w:t xml:space="preserve">. </w:t>
      </w:r>
    </w:p>
    <w:p w:rsidR="004945C1" w:rsidRPr="00607BB5" w:rsidRDefault="00607BB5" w:rsidP="00607BB5">
      <w:pPr>
        <w:spacing w:before="120"/>
        <w:ind w:firstLine="851"/>
        <w:jc w:val="both"/>
        <w:rPr>
          <w:bCs/>
          <w:color w:val="000000"/>
          <w:spacing w:val="2"/>
          <w:sz w:val="28"/>
          <w:szCs w:val="28"/>
        </w:rPr>
      </w:pPr>
      <w:r w:rsidRPr="00607BB5">
        <w:rPr>
          <w:b/>
          <w:bCs/>
          <w:color w:val="000000"/>
          <w:spacing w:val="2"/>
          <w:sz w:val="28"/>
          <w:szCs w:val="28"/>
        </w:rPr>
        <w:t>9.</w:t>
      </w:r>
      <w:r w:rsidRPr="00607BB5">
        <w:rPr>
          <w:bCs/>
          <w:color w:val="000000"/>
          <w:spacing w:val="2"/>
          <w:sz w:val="28"/>
          <w:szCs w:val="28"/>
        </w:rPr>
        <w:t xml:space="preserve"> </w:t>
      </w:r>
      <w:r w:rsidR="005E37BB" w:rsidRPr="00607BB5">
        <w:rPr>
          <w:bCs/>
          <w:color w:val="000000"/>
          <w:spacing w:val="2"/>
          <w:sz w:val="28"/>
          <w:szCs w:val="28"/>
        </w:rPr>
        <w:t>Giao Công an tỉnh thường xuyên kiểm tra, đôn đốc</w:t>
      </w:r>
      <w:r w:rsidRPr="00607BB5">
        <w:rPr>
          <w:bCs/>
          <w:color w:val="000000"/>
          <w:spacing w:val="2"/>
          <w:sz w:val="28"/>
          <w:szCs w:val="28"/>
        </w:rPr>
        <w:t>, hướng dẫn các</w:t>
      </w:r>
      <w:r w:rsidR="0012046C">
        <w:rPr>
          <w:bCs/>
          <w:color w:val="000000"/>
          <w:spacing w:val="2"/>
          <w:sz w:val="28"/>
          <w:szCs w:val="28"/>
        </w:rPr>
        <w:t xml:space="preserve"> cơ quan,</w:t>
      </w:r>
      <w:r w:rsidRPr="00607BB5">
        <w:rPr>
          <w:bCs/>
          <w:color w:val="000000"/>
          <w:spacing w:val="2"/>
          <w:sz w:val="28"/>
          <w:szCs w:val="28"/>
        </w:rPr>
        <w:t xml:space="preserve"> đơn vị thực hiện tốt nội dung trên; tổng hợp báo cáo</w:t>
      </w:r>
      <w:r w:rsidR="005E37BB" w:rsidRPr="00607BB5">
        <w:rPr>
          <w:bCs/>
          <w:color w:val="000000"/>
          <w:spacing w:val="2"/>
          <w:sz w:val="28"/>
          <w:szCs w:val="28"/>
        </w:rPr>
        <w:t xml:space="preserve"> Bộ Công an và Ủy ban nhân dân tỉnh theo quy định./.</w:t>
      </w:r>
    </w:p>
    <w:p w:rsidR="00817526" w:rsidRPr="00607BB5" w:rsidRDefault="00817526" w:rsidP="00817526">
      <w:pPr>
        <w:tabs>
          <w:tab w:val="left" w:pos="567"/>
          <w:tab w:val="left" w:pos="851"/>
          <w:tab w:val="left" w:pos="1560"/>
        </w:tabs>
        <w:spacing w:before="120"/>
        <w:ind w:firstLine="851"/>
        <w:contextualSpacing/>
        <w:jc w:val="both"/>
        <w:rPr>
          <w:sz w:val="38"/>
          <w:szCs w:val="28"/>
        </w:rPr>
      </w:pPr>
    </w:p>
    <w:tbl>
      <w:tblPr>
        <w:tblW w:w="9606" w:type="dxa"/>
        <w:tblLook w:val="00A0" w:firstRow="1" w:lastRow="0" w:firstColumn="1" w:lastColumn="0" w:noHBand="0" w:noVBand="0"/>
      </w:tblPr>
      <w:tblGrid>
        <w:gridCol w:w="5495"/>
        <w:gridCol w:w="4111"/>
      </w:tblGrid>
      <w:tr w:rsidR="005E37BB" w:rsidRPr="00981F82" w:rsidTr="00607BB5">
        <w:tc>
          <w:tcPr>
            <w:tcW w:w="5495" w:type="dxa"/>
          </w:tcPr>
          <w:p w:rsidR="005E37BB" w:rsidRPr="0023668B" w:rsidRDefault="005E37BB" w:rsidP="00982B4A">
            <w:pPr>
              <w:tabs>
                <w:tab w:val="right" w:pos="4462"/>
              </w:tabs>
              <w:jc w:val="both"/>
              <w:rPr>
                <w:b/>
                <w:bCs/>
                <w:lang w:val="vi-VN"/>
              </w:rPr>
            </w:pPr>
            <w:r w:rsidRPr="0023668B">
              <w:rPr>
                <w:b/>
                <w:bCs/>
                <w:i/>
                <w:lang w:val="vi-VN"/>
              </w:rPr>
              <w:t>Nơi nhận:</w:t>
            </w:r>
            <w:r>
              <w:rPr>
                <w:b/>
                <w:bCs/>
                <w:lang w:val="vi-VN"/>
              </w:rPr>
              <w:tab/>
            </w:r>
          </w:p>
          <w:p w:rsidR="005E37BB" w:rsidRPr="00BA7CF5" w:rsidRDefault="005E37BB" w:rsidP="00982B4A">
            <w:pPr>
              <w:jc w:val="both"/>
              <w:rPr>
                <w:bCs/>
                <w:sz w:val="22"/>
                <w:szCs w:val="22"/>
                <w:lang w:val="vi-VN"/>
              </w:rPr>
            </w:pPr>
            <w:r w:rsidRPr="00BA7CF5">
              <w:rPr>
                <w:bCs/>
                <w:sz w:val="22"/>
                <w:szCs w:val="22"/>
                <w:lang w:val="vi-VN"/>
              </w:rPr>
              <w:t>- Như trên;</w:t>
            </w:r>
          </w:p>
          <w:p w:rsidR="005E37BB" w:rsidRPr="0023668B" w:rsidRDefault="005E37BB" w:rsidP="00982B4A">
            <w:pPr>
              <w:jc w:val="both"/>
              <w:rPr>
                <w:bCs/>
                <w:lang w:val="vi-VN"/>
              </w:rPr>
            </w:pPr>
            <w:r w:rsidRPr="0023668B">
              <w:rPr>
                <w:bCs/>
                <w:sz w:val="22"/>
                <w:szCs w:val="22"/>
                <w:lang w:val="vi-VN"/>
              </w:rPr>
              <w:t>- Văn phòng Chính phủ</w:t>
            </w:r>
            <w:r w:rsidR="00607BB5">
              <w:rPr>
                <w:bCs/>
                <w:sz w:val="22"/>
                <w:szCs w:val="22"/>
              </w:rPr>
              <w:t xml:space="preserve"> </w:t>
            </w:r>
            <w:r w:rsidR="00607BB5" w:rsidRPr="00607BB5">
              <w:rPr>
                <w:bCs/>
                <w:i/>
                <w:sz w:val="22"/>
                <w:szCs w:val="22"/>
              </w:rPr>
              <w:t>(b/c)</w:t>
            </w:r>
            <w:r w:rsidRPr="0023668B">
              <w:rPr>
                <w:bCs/>
                <w:sz w:val="22"/>
                <w:szCs w:val="22"/>
                <w:lang w:val="vi-VN"/>
              </w:rPr>
              <w:t>;</w:t>
            </w:r>
          </w:p>
          <w:p w:rsidR="005E37BB" w:rsidRPr="00BA7CF5" w:rsidRDefault="005E37BB" w:rsidP="00982B4A">
            <w:pPr>
              <w:jc w:val="both"/>
              <w:rPr>
                <w:bCs/>
                <w:lang w:val="vi-VN"/>
              </w:rPr>
            </w:pPr>
            <w:r w:rsidRPr="00BA7CF5">
              <w:rPr>
                <w:bCs/>
                <w:sz w:val="22"/>
                <w:szCs w:val="22"/>
                <w:lang w:val="vi-VN"/>
              </w:rPr>
              <w:t>- Bộ Công an</w:t>
            </w:r>
            <w:r w:rsidR="00607BB5">
              <w:rPr>
                <w:bCs/>
                <w:sz w:val="22"/>
                <w:szCs w:val="22"/>
              </w:rPr>
              <w:t xml:space="preserve"> </w:t>
            </w:r>
            <w:r w:rsidR="00607BB5" w:rsidRPr="00607BB5">
              <w:rPr>
                <w:bCs/>
                <w:i/>
                <w:sz w:val="22"/>
                <w:szCs w:val="22"/>
              </w:rPr>
              <w:t>(b/c)</w:t>
            </w:r>
            <w:r w:rsidRPr="00BA7CF5">
              <w:rPr>
                <w:bCs/>
                <w:sz w:val="22"/>
                <w:szCs w:val="22"/>
                <w:lang w:val="vi-VN"/>
              </w:rPr>
              <w:t>;</w:t>
            </w:r>
          </w:p>
          <w:p w:rsidR="005E37BB" w:rsidRPr="00BA7CF5" w:rsidRDefault="005E37BB" w:rsidP="00982B4A">
            <w:pPr>
              <w:jc w:val="both"/>
              <w:rPr>
                <w:bCs/>
                <w:lang w:val="vi-VN"/>
              </w:rPr>
            </w:pPr>
            <w:r w:rsidRPr="00BA7CF5">
              <w:rPr>
                <w:bCs/>
                <w:sz w:val="22"/>
                <w:szCs w:val="22"/>
                <w:lang w:val="vi-VN"/>
              </w:rPr>
              <w:t>- Thường trực</w:t>
            </w:r>
            <w:r w:rsidR="0012046C">
              <w:rPr>
                <w:bCs/>
                <w:sz w:val="22"/>
                <w:szCs w:val="22"/>
              </w:rPr>
              <w:t>:</w:t>
            </w:r>
            <w:r w:rsidRPr="00BA7CF5">
              <w:rPr>
                <w:bCs/>
                <w:sz w:val="22"/>
                <w:szCs w:val="22"/>
                <w:lang w:val="vi-VN"/>
              </w:rPr>
              <w:t xml:space="preserve"> Tỉnh ủy, HĐND tỉnh</w:t>
            </w:r>
            <w:r w:rsidR="00607BB5">
              <w:rPr>
                <w:bCs/>
                <w:sz w:val="22"/>
                <w:szCs w:val="22"/>
              </w:rPr>
              <w:t xml:space="preserve"> </w:t>
            </w:r>
            <w:r w:rsidR="00607BB5" w:rsidRPr="00607BB5">
              <w:rPr>
                <w:bCs/>
                <w:i/>
                <w:sz w:val="22"/>
                <w:szCs w:val="22"/>
              </w:rPr>
              <w:t>(b/c)</w:t>
            </w:r>
            <w:r w:rsidRPr="00BA7CF5">
              <w:rPr>
                <w:bCs/>
                <w:sz w:val="22"/>
                <w:szCs w:val="22"/>
                <w:lang w:val="vi-VN"/>
              </w:rPr>
              <w:t>;</w:t>
            </w:r>
          </w:p>
          <w:p w:rsidR="005E37BB" w:rsidRPr="00BA7CF5" w:rsidRDefault="005E37BB" w:rsidP="00982B4A">
            <w:pPr>
              <w:jc w:val="both"/>
              <w:rPr>
                <w:bCs/>
                <w:lang w:val="vi-VN"/>
              </w:rPr>
            </w:pPr>
            <w:r w:rsidRPr="00BA7CF5">
              <w:rPr>
                <w:bCs/>
                <w:sz w:val="22"/>
                <w:szCs w:val="22"/>
                <w:lang w:val="vi-VN"/>
              </w:rPr>
              <w:t xml:space="preserve">- </w:t>
            </w:r>
            <w:r w:rsidR="00607BB5">
              <w:rPr>
                <w:bCs/>
                <w:sz w:val="22"/>
                <w:szCs w:val="22"/>
              </w:rPr>
              <w:t>CT, c</w:t>
            </w:r>
            <w:r w:rsidRPr="00BA7CF5">
              <w:rPr>
                <w:bCs/>
                <w:sz w:val="22"/>
                <w:szCs w:val="22"/>
                <w:lang w:val="vi-VN"/>
              </w:rPr>
              <w:t>ác PCT UBND tỉnh;</w:t>
            </w:r>
          </w:p>
          <w:p w:rsidR="005E37BB" w:rsidRPr="00BA7CF5" w:rsidRDefault="005E37BB" w:rsidP="00982B4A">
            <w:pPr>
              <w:jc w:val="both"/>
              <w:rPr>
                <w:bCs/>
                <w:lang w:val="vi-VN"/>
              </w:rPr>
            </w:pPr>
            <w:r w:rsidRPr="00BA7CF5">
              <w:rPr>
                <w:bCs/>
                <w:sz w:val="22"/>
                <w:szCs w:val="22"/>
                <w:lang w:val="vi-VN"/>
              </w:rPr>
              <w:t>- Ban Nội chính Tỉnh ủy;</w:t>
            </w:r>
          </w:p>
          <w:p w:rsidR="005E37BB" w:rsidRPr="00BA7CF5" w:rsidRDefault="005E37BB" w:rsidP="00982B4A">
            <w:pPr>
              <w:jc w:val="both"/>
              <w:rPr>
                <w:bCs/>
                <w:lang w:val="vi-VN"/>
              </w:rPr>
            </w:pPr>
            <w:r w:rsidRPr="00BA7CF5">
              <w:rPr>
                <w:bCs/>
                <w:sz w:val="22"/>
                <w:szCs w:val="22"/>
                <w:lang w:val="vi-VN"/>
              </w:rPr>
              <w:t>- VPUB: LĐ, KTTH, VXNV;</w:t>
            </w:r>
          </w:p>
          <w:p w:rsidR="005E37BB" w:rsidRPr="00BA7CF5" w:rsidRDefault="005E37BB" w:rsidP="00607BB5">
            <w:pPr>
              <w:jc w:val="both"/>
              <w:rPr>
                <w:sz w:val="28"/>
                <w:szCs w:val="28"/>
                <w:lang w:val="vi-VN"/>
              </w:rPr>
            </w:pPr>
            <w:r w:rsidRPr="00BA7CF5">
              <w:rPr>
                <w:sz w:val="22"/>
                <w:szCs w:val="22"/>
                <w:lang w:val="vi-VN"/>
              </w:rPr>
              <w:t>- Lưu: VT, TCD.</w:t>
            </w:r>
            <w:r w:rsidR="00607BB5">
              <w:rPr>
                <w:sz w:val="22"/>
                <w:szCs w:val="22"/>
              </w:rPr>
              <w:t xml:space="preserve"> </w:t>
            </w:r>
            <w:r w:rsidR="00607BB5" w:rsidRPr="00607BB5">
              <w:rPr>
                <w:sz w:val="16"/>
                <w:szCs w:val="22"/>
              </w:rPr>
              <w:t>QMT</w:t>
            </w:r>
            <w:r w:rsidRPr="00BA7CF5">
              <w:rPr>
                <w:sz w:val="28"/>
                <w:szCs w:val="28"/>
                <w:lang w:val="vi-VN"/>
              </w:rPr>
              <w:tab/>
            </w:r>
          </w:p>
        </w:tc>
        <w:tc>
          <w:tcPr>
            <w:tcW w:w="4111" w:type="dxa"/>
          </w:tcPr>
          <w:p w:rsidR="005E37BB" w:rsidRPr="00BA7CF5" w:rsidRDefault="005E37BB" w:rsidP="00607BB5">
            <w:pPr>
              <w:jc w:val="center"/>
              <w:rPr>
                <w:b/>
                <w:bCs/>
                <w:sz w:val="28"/>
                <w:szCs w:val="28"/>
                <w:lang w:val="vi-VN"/>
              </w:rPr>
            </w:pPr>
            <w:r w:rsidRPr="00607BB5">
              <w:rPr>
                <w:b/>
                <w:bCs/>
                <w:sz w:val="26"/>
                <w:szCs w:val="28"/>
                <w:lang w:val="vi-VN"/>
              </w:rPr>
              <w:t>CHỦ TỊCH</w:t>
            </w:r>
          </w:p>
          <w:p w:rsidR="005E37BB" w:rsidRPr="00BA7CF5" w:rsidRDefault="005E37BB" w:rsidP="00607BB5">
            <w:pPr>
              <w:jc w:val="center"/>
              <w:rPr>
                <w:b/>
                <w:bCs/>
                <w:sz w:val="28"/>
                <w:szCs w:val="28"/>
                <w:lang w:val="vi-VN"/>
              </w:rPr>
            </w:pPr>
          </w:p>
          <w:p w:rsidR="005E37BB" w:rsidRPr="00BA7CF5" w:rsidRDefault="005E37BB" w:rsidP="00607BB5">
            <w:pPr>
              <w:jc w:val="center"/>
              <w:rPr>
                <w:b/>
                <w:bCs/>
                <w:sz w:val="28"/>
                <w:szCs w:val="28"/>
                <w:lang w:val="vi-VN"/>
              </w:rPr>
            </w:pPr>
          </w:p>
          <w:p w:rsidR="005E37BB" w:rsidRPr="00BA7CF5" w:rsidRDefault="005E37BB" w:rsidP="00607BB5">
            <w:pPr>
              <w:jc w:val="center"/>
              <w:rPr>
                <w:b/>
                <w:bCs/>
                <w:sz w:val="28"/>
                <w:szCs w:val="28"/>
                <w:lang w:val="vi-VN"/>
              </w:rPr>
            </w:pPr>
          </w:p>
          <w:p w:rsidR="005E37BB" w:rsidRPr="00607BB5" w:rsidRDefault="005E37BB" w:rsidP="00607BB5">
            <w:pPr>
              <w:jc w:val="center"/>
              <w:rPr>
                <w:b/>
                <w:bCs/>
                <w:sz w:val="18"/>
                <w:szCs w:val="28"/>
              </w:rPr>
            </w:pPr>
          </w:p>
          <w:p w:rsidR="00607BB5" w:rsidRPr="00607BB5" w:rsidRDefault="00607BB5" w:rsidP="00607BB5">
            <w:pPr>
              <w:jc w:val="center"/>
              <w:rPr>
                <w:b/>
                <w:bCs/>
                <w:sz w:val="28"/>
                <w:szCs w:val="28"/>
              </w:rPr>
            </w:pPr>
          </w:p>
          <w:p w:rsidR="005E37BB" w:rsidRPr="00BA7CF5" w:rsidRDefault="005E37BB" w:rsidP="00607BB5">
            <w:pPr>
              <w:jc w:val="center"/>
              <w:rPr>
                <w:b/>
                <w:bCs/>
                <w:sz w:val="28"/>
                <w:szCs w:val="28"/>
                <w:lang w:val="vi-VN"/>
              </w:rPr>
            </w:pPr>
          </w:p>
          <w:p w:rsidR="005E37BB" w:rsidRPr="00BA7CF5" w:rsidRDefault="005E37BB" w:rsidP="00607BB5">
            <w:pPr>
              <w:jc w:val="center"/>
              <w:rPr>
                <w:b/>
                <w:bCs/>
                <w:sz w:val="28"/>
                <w:szCs w:val="28"/>
                <w:lang w:val="vi-VN"/>
              </w:rPr>
            </w:pPr>
          </w:p>
          <w:p w:rsidR="005E37BB" w:rsidRPr="00BA7CF5" w:rsidRDefault="005E37BB" w:rsidP="00607BB5">
            <w:pPr>
              <w:jc w:val="center"/>
              <w:rPr>
                <w:b/>
                <w:bCs/>
                <w:sz w:val="28"/>
                <w:szCs w:val="28"/>
                <w:lang w:val="vi-VN"/>
              </w:rPr>
            </w:pPr>
            <w:r w:rsidRPr="00BA7CF5">
              <w:rPr>
                <w:b/>
                <w:bCs/>
                <w:sz w:val="28"/>
                <w:szCs w:val="28"/>
                <w:lang w:val="vi-VN"/>
              </w:rPr>
              <w:t>Trần Quốc Nam</w:t>
            </w:r>
          </w:p>
        </w:tc>
      </w:tr>
    </w:tbl>
    <w:p w:rsidR="00A15178" w:rsidRPr="006E43CE" w:rsidRDefault="00A15178" w:rsidP="00B662DA">
      <w:pPr>
        <w:spacing w:before="60" w:after="60"/>
        <w:contextualSpacing/>
        <w:jc w:val="both"/>
        <w:rPr>
          <w:lang w:val="vi-VN"/>
        </w:rPr>
      </w:pPr>
    </w:p>
    <w:sectPr w:rsidR="00A15178" w:rsidRPr="006E43CE" w:rsidSect="0012046C">
      <w:headerReference w:type="default" r:id="rId9"/>
      <w:footerReference w:type="default" r:id="rId10"/>
      <w:footerReference w:type="first" r:id="rId11"/>
      <w:pgSz w:w="11907" w:h="16840" w:code="9"/>
      <w:pgMar w:top="1134" w:right="1134" w:bottom="1134" w:left="1418" w:header="425" w:footer="27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6D2" w:rsidRDefault="002146D2">
      <w:r>
        <w:separator/>
      </w:r>
    </w:p>
  </w:endnote>
  <w:endnote w:type="continuationSeparator" w:id="0">
    <w:p w:rsidR="002146D2" w:rsidRDefault="0021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106431"/>
      <w:docPartObj>
        <w:docPartGallery w:val="Page Numbers (Bottom of Page)"/>
        <w:docPartUnique/>
      </w:docPartObj>
    </w:sdtPr>
    <w:sdtEndPr>
      <w:rPr>
        <w:noProof/>
      </w:rPr>
    </w:sdtEndPr>
    <w:sdtContent>
      <w:p w:rsidR="00607BB5" w:rsidRDefault="00607BB5">
        <w:pPr>
          <w:pStyle w:val="Footer"/>
          <w:jc w:val="right"/>
        </w:pPr>
        <w:r>
          <w:fldChar w:fldCharType="begin"/>
        </w:r>
        <w:r>
          <w:instrText xml:space="preserve"> PAGE   \* MERGEFORMAT </w:instrText>
        </w:r>
        <w:r>
          <w:fldChar w:fldCharType="separate"/>
        </w:r>
        <w:r w:rsidR="00270B5F">
          <w:rPr>
            <w:noProof/>
          </w:rPr>
          <w:t>2</w:t>
        </w:r>
        <w:r>
          <w:rPr>
            <w:noProof/>
          </w:rPr>
          <w:fldChar w:fldCharType="end"/>
        </w:r>
      </w:p>
    </w:sdtContent>
  </w:sdt>
  <w:p w:rsidR="00F6582A" w:rsidRDefault="002146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CCB" w:rsidRDefault="003C7CCB">
    <w:pPr>
      <w:pStyle w:val="Footer"/>
      <w:jc w:val="right"/>
    </w:pPr>
  </w:p>
  <w:p w:rsidR="003C7CCB" w:rsidRDefault="003C7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6D2" w:rsidRDefault="002146D2">
      <w:r>
        <w:separator/>
      </w:r>
    </w:p>
  </w:footnote>
  <w:footnote w:type="continuationSeparator" w:id="0">
    <w:p w:rsidR="002146D2" w:rsidRDefault="00214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D33" w:rsidRPr="00CE1C12" w:rsidRDefault="006E1D33" w:rsidP="00BC3847">
    <w:pPr>
      <w:pStyle w:val="Header"/>
      <w:jc w:val="center"/>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13FE8"/>
    <w:multiLevelType w:val="multilevel"/>
    <w:tmpl w:val="F79E3340"/>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175A37"/>
    <w:multiLevelType w:val="hybridMultilevel"/>
    <w:tmpl w:val="D56C2840"/>
    <w:lvl w:ilvl="0" w:tplc="16F62D4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F1C"/>
    <w:rsid w:val="000001DE"/>
    <w:rsid w:val="000065B1"/>
    <w:rsid w:val="00012D18"/>
    <w:rsid w:val="00020BAD"/>
    <w:rsid w:val="000338F1"/>
    <w:rsid w:val="000518E1"/>
    <w:rsid w:val="00054815"/>
    <w:rsid w:val="00061543"/>
    <w:rsid w:val="00066092"/>
    <w:rsid w:val="00080957"/>
    <w:rsid w:val="00083100"/>
    <w:rsid w:val="00084586"/>
    <w:rsid w:val="0008533C"/>
    <w:rsid w:val="000936DE"/>
    <w:rsid w:val="000954F0"/>
    <w:rsid w:val="00095F24"/>
    <w:rsid w:val="000A17D1"/>
    <w:rsid w:val="000A3DE8"/>
    <w:rsid w:val="000A760C"/>
    <w:rsid w:val="000B46A6"/>
    <w:rsid w:val="000C1AA8"/>
    <w:rsid w:val="000C5349"/>
    <w:rsid w:val="000D18F2"/>
    <w:rsid w:val="000E0E81"/>
    <w:rsid w:val="000E3B40"/>
    <w:rsid w:val="001000E6"/>
    <w:rsid w:val="001053C6"/>
    <w:rsid w:val="0011146D"/>
    <w:rsid w:val="00113D21"/>
    <w:rsid w:val="00114FD3"/>
    <w:rsid w:val="0011541A"/>
    <w:rsid w:val="0012046C"/>
    <w:rsid w:val="001274A4"/>
    <w:rsid w:val="0013457B"/>
    <w:rsid w:val="00136DB1"/>
    <w:rsid w:val="00144100"/>
    <w:rsid w:val="00164C5A"/>
    <w:rsid w:val="001848FF"/>
    <w:rsid w:val="001A1BD1"/>
    <w:rsid w:val="001A5468"/>
    <w:rsid w:val="001A7D2F"/>
    <w:rsid w:val="001B21EB"/>
    <w:rsid w:val="001B3799"/>
    <w:rsid w:val="001D13CD"/>
    <w:rsid w:val="001D45CA"/>
    <w:rsid w:val="001D4CA1"/>
    <w:rsid w:val="001D6C62"/>
    <w:rsid w:val="001E1FCB"/>
    <w:rsid w:val="001E435D"/>
    <w:rsid w:val="001F3969"/>
    <w:rsid w:val="001F4D8C"/>
    <w:rsid w:val="001F5392"/>
    <w:rsid w:val="00200962"/>
    <w:rsid w:val="002146D2"/>
    <w:rsid w:val="00223BBC"/>
    <w:rsid w:val="00225361"/>
    <w:rsid w:val="002308F0"/>
    <w:rsid w:val="002327B7"/>
    <w:rsid w:val="0023668B"/>
    <w:rsid w:val="00270B5F"/>
    <w:rsid w:val="00276487"/>
    <w:rsid w:val="00276709"/>
    <w:rsid w:val="0028135A"/>
    <w:rsid w:val="00282356"/>
    <w:rsid w:val="00283C67"/>
    <w:rsid w:val="002913A1"/>
    <w:rsid w:val="00293A05"/>
    <w:rsid w:val="002A1BD4"/>
    <w:rsid w:val="002A55B4"/>
    <w:rsid w:val="002B12B6"/>
    <w:rsid w:val="002E7B2D"/>
    <w:rsid w:val="00300601"/>
    <w:rsid w:val="003043E1"/>
    <w:rsid w:val="00311976"/>
    <w:rsid w:val="003224D6"/>
    <w:rsid w:val="003253A8"/>
    <w:rsid w:val="003524D2"/>
    <w:rsid w:val="00353DA6"/>
    <w:rsid w:val="003602B7"/>
    <w:rsid w:val="00360FAE"/>
    <w:rsid w:val="00366297"/>
    <w:rsid w:val="003667FA"/>
    <w:rsid w:val="0037398C"/>
    <w:rsid w:val="003825F8"/>
    <w:rsid w:val="003836F6"/>
    <w:rsid w:val="00383E6A"/>
    <w:rsid w:val="003920D0"/>
    <w:rsid w:val="00394762"/>
    <w:rsid w:val="003A1C58"/>
    <w:rsid w:val="003A5068"/>
    <w:rsid w:val="003B24B6"/>
    <w:rsid w:val="003B250C"/>
    <w:rsid w:val="003C6257"/>
    <w:rsid w:val="003C7870"/>
    <w:rsid w:val="003C7CCB"/>
    <w:rsid w:val="003D2E14"/>
    <w:rsid w:val="003D7FD6"/>
    <w:rsid w:val="003E0C06"/>
    <w:rsid w:val="003E1A3B"/>
    <w:rsid w:val="003E35EF"/>
    <w:rsid w:val="003E3CC5"/>
    <w:rsid w:val="00400F6A"/>
    <w:rsid w:val="00411A89"/>
    <w:rsid w:val="00411F3F"/>
    <w:rsid w:val="00413F41"/>
    <w:rsid w:val="00416B6F"/>
    <w:rsid w:val="0041712D"/>
    <w:rsid w:val="00422FC5"/>
    <w:rsid w:val="00427A1D"/>
    <w:rsid w:val="004352AA"/>
    <w:rsid w:val="004466E0"/>
    <w:rsid w:val="00456847"/>
    <w:rsid w:val="00462EEC"/>
    <w:rsid w:val="00467861"/>
    <w:rsid w:val="00470B05"/>
    <w:rsid w:val="00487F14"/>
    <w:rsid w:val="004945C1"/>
    <w:rsid w:val="004A189F"/>
    <w:rsid w:val="004A1D6C"/>
    <w:rsid w:val="004A386C"/>
    <w:rsid w:val="004A758A"/>
    <w:rsid w:val="004B74D3"/>
    <w:rsid w:val="004C48C5"/>
    <w:rsid w:val="004C4D12"/>
    <w:rsid w:val="004C6638"/>
    <w:rsid w:val="004E4453"/>
    <w:rsid w:val="004E706F"/>
    <w:rsid w:val="004F2654"/>
    <w:rsid w:val="004F3BE2"/>
    <w:rsid w:val="005001E8"/>
    <w:rsid w:val="00500DD8"/>
    <w:rsid w:val="0050468D"/>
    <w:rsid w:val="00505CDE"/>
    <w:rsid w:val="005065E6"/>
    <w:rsid w:val="00510272"/>
    <w:rsid w:val="005108F6"/>
    <w:rsid w:val="00514A56"/>
    <w:rsid w:val="005152E5"/>
    <w:rsid w:val="005164B6"/>
    <w:rsid w:val="00530056"/>
    <w:rsid w:val="00537BFF"/>
    <w:rsid w:val="0054424C"/>
    <w:rsid w:val="005458C0"/>
    <w:rsid w:val="00555DFF"/>
    <w:rsid w:val="00566BD3"/>
    <w:rsid w:val="00570EC6"/>
    <w:rsid w:val="005732D2"/>
    <w:rsid w:val="005771D2"/>
    <w:rsid w:val="005800AE"/>
    <w:rsid w:val="00583691"/>
    <w:rsid w:val="00585BDB"/>
    <w:rsid w:val="00591188"/>
    <w:rsid w:val="005964D8"/>
    <w:rsid w:val="005A15A1"/>
    <w:rsid w:val="005A61C6"/>
    <w:rsid w:val="005C04C7"/>
    <w:rsid w:val="005C0B08"/>
    <w:rsid w:val="005C1D2D"/>
    <w:rsid w:val="005C3479"/>
    <w:rsid w:val="005C4C81"/>
    <w:rsid w:val="005C5DB4"/>
    <w:rsid w:val="005D595E"/>
    <w:rsid w:val="005E37BB"/>
    <w:rsid w:val="005E6932"/>
    <w:rsid w:val="005E6AB5"/>
    <w:rsid w:val="005F68F9"/>
    <w:rsid w:val="00606B0B"/>
    <w:rsid w:val="00607BB5"/>
    <w:rsid w:val="00611053"/>
    <w:rsid w:val="00611599"/>
    <w:rsid w:val="00614029"/>
    <w:rsid w:val="00622B67"/>
    <w:rsid w:val="00624102"/>
    <w:rsid w:val="00624818"/>
    <w:rsid w:val="0062719C"/>
    <w:rsid w:val="00645C1B"/>
    <w:rsid w:val="00653619"/>
    <w:rsid w:val="00663989"/>
    <w:rsid w:val="00677895"/>
    <w:rsid w:val="006930AD"/>
    <w:rsid w:val="006A3378"/>
    <w:rsid w:val="006A3ABF"/>
    <w:rsid w:val="006A5C58"/>
    <w:rsid w:val="006B2651"/>
    <w:rsid w:val="006B27D3"/>
    <w:rsid w:val="006B4B8D"/>
    <w:rsid w:val="006C0481"/>
    <w:rsid w:val="006C0FDC"/>
    <w:rsid w:val="006D1F29"/>
    <w:rsid w:val="006D24EA"/>
    <w:rsid w:val="006E1D33"/>
    <w:rsid w:val="006E43CE"/>
    <w:rsid w:val="006F0682"/>
    <w:rsid w:val="006F11C6"/>
    <w:rsid w:val="006F23E3"/>
    <w:rsid w:val="00702713"/>
    <w:rsid w:val="0070624A"/>
    <w:rsid w:val="00710DCD"/>
    <w:rsid w:val="00732F24"/>
    <w:rsid w:val="0073743D"/>
    <w:rsid w:val="00737B4E"/>
    <w:rsid w:val="00747B25"/>
    <w:rsid w:val="0076042B"/>
    <w:rsid w:val="00765AA8"/>
    <w:rsid w:val="0077082C"/>
    <w:rsid w:val="00775D78"/>
    <w:rsid w:val="00783A0C"/>
    <w:rsid w:val="00785C48"/>
    <w:rsid w:val="00785FFF"/>
    <w:rsid w:val="00791291"/>
    <w:rsid w:val="00792F4F"/>
    <w:rsid w:val="007B2E7D"/>
    <w:rsid w:val="007B6A3D"/>
    <w:rsid w:val="007D2735"/>
    <w:rsid w:val="007E06F2"/>
    <w:rsid w:val="007E1C1B"/>
    <w:rsid w:val="007F3AF9"/>
    <w:rsid w:val="00803E01"/>
    <w:rsid w:val="008108E7"/>
    <w:rsid w:val="00810CAD"/>
    <w:rsid w:val="00816B35"/>
    <w:rsid w:val="00817526"/>
    <w:rsid w:val="0082189A"/>
    <w:rsid w:val="008308EC"/>
    <w:rsid w:val="00832940"/>
    <w:rsid w:val="0084058E"/>
    <w:rsid w:val="00844F9A"/>
    <w:rsid w:val="008501B7"/>
    <w:rsid w:val="00866321"/>
    <w:rsid w:val="00874BBE"/>
    <w:rsid w:val="00884E6B"/>
    <w:rsid w:val="00886EFB"/>
    <w:rsid w:val="008A0498"/>
    <w:rsid w:val="008A1D9B"/>
    <w:rsid w:val="008A6825"/>
    <w:rsid w:val="008B1377"/>
    <w:rsid w:val="008B649A"/>
    <w:rsid w:val="008D37BF"/>
    <w:rsid w:val="008D5F5E"/>
    <w:rsid w:val="008D7260"/>
    <w:rsid w:val="008F190A"/>
    <w:rsid w:val="009009CC"/>
    <w:rsid w:val="0090693D"/>
    <w:rsid w:val="009246AC"/>
    <w:rsid w:val="00924FD7"/>
    <w:rsid w:val="009442E5"/>
    <w:rsid w:val="00956E75"/>
    <w:rsid w:val="00981F82"/>
    <w:rsid w:val="00984A63"/>
    <w:rsid w:val="009907AC"/>
    <w:rsid w:val="009938A8"/>
    <w:rsid w:val="009A4DB1"/>
    <w:rsid w:val="009B359D"/>
    <w:rsid w:val="009B4766"/>
    <w:rsid w:val="009B6B10"/>
    <w:rsid w:val="009B74BB"/>
    <w:rsid w:val="009B76BE"/>
    <w:rsid w:val="009C5061"/>
    <w:rsid w:val="009E5F8A"/>
    <w:rsid w:val="00A15178"/>
    <w:rsid w:val="00A17993"/>
    <w:rsid w:val="00A478B0"/>
    <w:rsid w:val="00A51164"/>
    <w:rsid w:val="00A74FE3"/>
    <w:rsid w:val="00A862AA"/>
    <w:rsid w:val="00A939BB"/>
    <w:rsid w:val="00A93B09"/>
    <w:rsid w:val="00A9729E"/>
    <w:rsid w:val="00AA1AF4"/>
    <w:rsid w:val="00AA6FCC"/>
    <w:rsid w:val="00AB3590"/>
    <w:rsid w:val="00AB4747"/>
    <w:rsid w:val="00AB6448"/>
    <w:rsid w:val="00AC0941"/>
    <w:rsid w:val="00AC6800"/>
    <w:rsid w:val="00AD44E1"/>
    <w:rsid w:val="00AF1223"/>
    <w:rsid w:val="00AF22C3"/>
    <w:rsid w:val="00AF54A9"/>
    <w:rsid w:val="00B06D8E"/>
    <w:rsid w:val="00B12A54"/>
    <w:rsid w:val="00B25137"/>
    <w:rsid w:val="00B2605C"/>
    <w:rsid w:val="00B4311C"/>
    <w:rsid w:val="00B45B51"/>
    <w:rsid w:val="00B662DA"/>
    <w:rsid w:val="00B77C3A"/>
    <w:rsid w:val="00B83883"/>
    <w:rsid w:val="00BA0631"/>
    <w:rsid w:val="00BA15C5"/>
    <w:rsid w:val="00BA350E"/>
    <w:rsid w:val="00BA4ACF"/>
    <w:rsid w:val="00BA7CF5"/>
    <w:rsid w:val="00BB7345"/>
    <w:rsid w:val="00BC015F"/>
    <w:rsid w:val="00BC0CF3"/>
    <w:rsid w:val="00BC3847"/>
    <w:rsid w:val="00BD5FFF"/>
    <w:rsid w:val="00BE2E9F"/>
    <w:rsid w:val="00BE5120"/>
    <w:rsid w:val="00BF3952"/>
    <w:rsid w:val="00C04A91"/>
    <w:rsid w:val="00C13C85"/>
    <w:rsid w:val="00C13E25"/>
    <w:rsid w:val="00C23308"/>
    <w:rsid w:val="00C31303"/>
    <w:rsid w:val="00C570FD"/>
    <w:rsid w:val="00C57167"/>
    <w:rsid w:val="00C61B13"/>
    <w:rsid w:val="00C71158"/>
    <w:rsid w:val="00C83A43"/>
    <w:rsid w:val="00C8554E"/>
    <w:rsid w:val="00C90981"/>
    <w:rsid w:val="00C922BD"/>
    <w:rsid w:val="00C9613B"/>
    <w:rsid w:val="00CA16E4"/>
    <w:rsid w:val="00CA2407"/>
    <w:rsid w:val="00CB2D08"/>
    <w:rsid w:val="00CC0908"/>
    <w:rsid w:val="00CC62E4"/>
    <w:rsid w:val="00CD3059"/>
    <w:rsid w:val="00CD3213"/>
    <w:rsid w:val="00CD32D1"/>
    <w:rsid w:val="00CD6065"/>
    <w:rsid w:val="00CE1C12"/>
    <w:rsid w:val="00CE4912"/>
    <w:rsid w:val="00CE60C9"/>
    <w:rsid w:val="00CE7D83"/>
    <w:rsid w:val="00CF1D2C"/>
    <w:rsid w:val="00CF2417"/>
    <w:rsid w:val="00CF2471"/>
    <w:rsid w:val="00D04705"/>
    <w:rsid w:val="00D05723"/>
    <w:rsid w:val="00D07F6E"/>
    <w:rsid w:val="00D15062"/>
    <w:rsid w:val="00D240BE"/>
    <w:rsid w:val="00D34F1C"/>
    <w:rsid w:val="00D46D07"/>
    <w:rsid w:val="00D47439"/>
    <w:rsid w:val="00D52477"/>
    <w:rsid w:val="00D54E5E"/>
    <w:rsid w:val="00D62589"/>
    <w:rsid w:val="00D64D83"/>
    <w:rsid w:val="00D66269"/>
    <w:rsid w:val="00D71A10"/>
    <w:rsid w:val="00D7489E"/>
    <w:rsid w:val="00D85ED9"/>
    <w:rsid w:val="00D860F0"/>
    <w:rsid w:val="00D932F8"/>
    <w:rsid w:val="00D945BB"/>
    <w:rsid w:val="00DA7128"/>
    <w:rsid w:val="00DB2E1B"/>
    <w:rsid w:val="00DB6535"/>
    <w:rsid w:val="00DB7FE2"/>
    <w:rsid w:val="00DC0176"/>
    <w:rsid w:val="00DC45AA"/>
    <w:rsid w:val="00DD36D0"/>
    <w:rsid w:val="00DE77DE"/>
    <w:rsid w:val="00DF1177"/>
    <w:rsid w:val="00E03FFE"/>
    <w:rsid w:val="00E06204"/>
    <w:rsid w:val="00E2045F"/>
    <w:rsid w:val="00E21939"/>
    <w:rsid w:val="00E236E6"/>
    <w:rsid w:val="00E50C5F"/>
    <w:rsid w:val="00E55A49"/>
    <w:rsid w:val="00E6514A"/>
    <w:rsid w:val="00E65C6F"/>
    <w:rsid w:val="00E65F35"/>
    <w:rsid w:val="00E7325F"/>
    <w:rsid w:val="00E95EEE"/>
    <w:rsid w:val="00EA4EF2"/>
    <w:rsid w:val="00EB4F4D"/>
    <w:rsid w:val="00EC1FE4"/>
    <w:rsid w:val="00F17AC7"/>
    <w:rsid w:val="00F314C4"/>
    <w:rsid w:val="00F522D4"/>
    <w:rsid w:val="00F60EDD"/>
    <w:rsid w:val="00F635D5"/>
    <w:rsid w:val="00F66DD1"/>
    <w:rsid w:val="00F709A2"/>
    <w:rsid w:val="00F72477"/>
    <w:rsid w:val="00F74546"/>
    <w:rsid w:val="00F76955"/>
    <w:rsid w:val="00F836E6"/>
    <w:rsid w:val="00F83AF9"/>
    <w:rsid w:val="00F83CF6"/>
    <w:rsid w:val="00FA56FB"/>
    <w:rsid w:val="00FB5136"/>
    <w:rsid w:val="00FC07A0"/>
    <w:rsid w:val="00FC1D96"/>
    <w:rsid w:val="00FD6B35"/>
    <w:rsid w:val="00FE3084"/>
    <w:rsid w:val="00FF1BFA"/>
    <w:rsid w:val="00FF6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F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34F1C"/>
    <w:pPr>
      <w:tabs>
        <w:tab w:val="center" w:pos="4680"/>
        <w:tab w:val="right" w:pos="9360"/>
      </w:tabs>
    </w:pPr>
  </w:style>
  <w:style w:type="character" w:customStyle="1" w:styleId="FooterChar">
    <w:name w:val="Footer Char"/>
    <w:basedOn w:val="DefaultParagraphFont"/>
    <w:link w:val="Footer"/>
    <w:uiPriority w:val="99"/>
    <w:rsid w:val="00D34F1C"/>
    <w:rPr>
      <w:rFonts w:ascii="Times New Roman" w:eastAsia="Times New Roman" w:hAnsi="Times New Roman" w:cs="Times New Roman"/>
      <w:sz w:val="24"/>
      <w:szCs w:val="24"/>
    </w:rPr>
  </w:style>
  <w:style w:type="paragraph" w:styleId="NormalWeb">
    <w:name w:val="Normal (Web)"/>
    <w:basedOn w:val="Normal"/>
    <w:uiPriority w:val="99"/>
    <w:unhideWhenUsed/>
    <w:rsid w:val="00D34F1C"/>
    <w:pPr>
      <w:spacing w:before="100" w:beforeAutospacing="1" w:after="100" w:afterAutospacing="1"/>
    </w:pPr>
  </w:style>
  <w:style w:type="character" w:styleId="Hyperlink">
    <w:name w:val="Hyperlink"/>
    <w:basedOn w:val="DefaultParagraphFont"/>
    <w:uiPriority w:val="99"/>
    <w:semiHidden/>
    <w:unhideWhenUsed/>
    <w:rsid w:val="00D34F1C"/>
    <w:rPr>
      <w:color w:val="0000FF"/>
      <w:u w:val="single"/>
    </w:rPr>
  </w:style>
  <w:style w:type="paragraph" w:styleId="Header">
    <w:name w:val="header"/>
    <w:basedOn w:val="Normal"/>
    <w:link w:val="HeaderChar"/>
    <w:uiPriority w:val="99"/>
    <w:unhideWhenUsed/>
    <w:rsid w:val="003C7CCB"/>
    <w:pPr>
      <w:tabs>
        <w:tab w:val="center" w:pos="4680"/>
        <w:tab w:val="right" w:pos="9360"/>
      </w:tabs>
    </w:pPr>
  </w:style>
  <w:style w:type="character" w:customStyle="1" w:styleId="HeaderChar">
    <w:name w:val="Header Char"/>
    <w:basedOn w:val="DefaultParagraphFont"/>
    <w:link w:val="Header"/>
    <w:uiPriority w:val="99"/>
    <w:rsid w:val="003C7CC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00AE"/>
    <w:rPr>
      <w:rFonts w:ascii="Tahoma" w:hAnsi="Tahoma" w:cs="Tahoma"/>
      <w:sz w:val="16"/>
      <w:szCs w:val="16"/>
    </w:rPr>
  </w:style>
  <w:style w:type="character" w:customStyle="1" w:styleId="BalloonTextChar">
    <w:name w:val="Balloon Text Char"/>
    <w:basedOn w:val="DefaultParagraphFont"/>
    <w:link w:val="BalloonText"/>
    <w:uiPriority w:val="99"/>
    <w:semiHidden/>
    <w:rsid w:val="005800AE"/>
    <w:rPr>
      <w:rFonts w:ascii="Tahoma" w:eastAsia="Times New Roman" w:hAnsi="Tahoma" w:cs="Tahoma"/>
      <w:sz w:val="16"/>
      <w:szCs w:val="16"/>
    </w:rPr>
  </w:style>
  <w:style w:type="paragraph" w:styleId="ListParagraph">
    <w:name w:val="List Paragraph"/>
    <w:basedOn w:val="Normal"/>
    <w:uiPriority w:val="34"/>
    <w:qFormat/>
    <w:rsid w:val="006B27D3"/>
    <w:pPr>
      <w:ind w:left="720"/>
      <w:contextualSpacing/>
    </w:pPr>
  </w:style>
  <w:style w:type="table" w:styleId="TableGrid">
    <w:name w:val="Table Grid"/>
    <w:basedOn w:val="TableNormal"/>
    <w:uiPriority w:val="59"/>
    <w:rsid w:val="006F23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F60EDD"/>
    <w:rPr>
      <w:rFonts w:ascii="Times New Roman" w:eastAsia="Times New Roman" w:hAnsi="Times New Roman" w:cs="Times New Roman"/>
      <w:sz w:val="26"/>
      <w:szCs w:val="26"/>
      <w:shd w:val="clear" w:color="auto" w:fill="FFFFFF"/>
    </w:rPr>
  </w:style>
  <w:style w:type="character" w:customStyle="1" w:styleId="Headerorfooter2">
    <w:name w:val="Header or footer (2)_"/>
    <w:basedOn w:val="DefaultParagraphFont"/>
    <w:link w:val="Headerorfooter20"/>
    <w:rsid w:val="00F60EDD"/>
    <w:rPr>
      <w:rFonts w:ascii="Times New Roman" w:eastAsia="Times New Roman" w:hAnsi="Times New Roman" w:cs="Times New Roman"/>
      <w:sz w:val="20"/>
      <w:szCs w:val="20"/>
      <w:shd w:val="clear" w:color="auto" w:fill="FFFFFF"/>
      <w:lang w:bidi="en-US"/>
    </w:rPr>
  </w:style>
  <w:style w:type="paragraph" w:styleId="BodyText">
    <w:name w:val="Body Text"/>
    <w:basedOn w:val="Normal"/>
    <w:link w:val="BodyTextChar"/>
    <w:qFormat/>
    <w:rsid w:val="00F60EDD"/>
    <w:pPr>
      <w:widowControl w:val="0"/>
      <w:shd w:val="clear" w:color="auto" w:fill="FFFFFF"/>
      <w:spacing w:after="100"/>
      <w:ind w:firstLine="400"/>
    </w:pPr>
    <w:rPr>
      <w:sz w:val="26"/>
      <w:szCs w:val="26"/>
    </w:rPr>
  </w:style>
  <w:style w:type="character" w:customStyle="1" w:styleId="BodyTextChar1">
    <w:name w:val="Body Text Char1"/>
    <w:basedOn w:val="DefaultParagraphFont"/>
    <w:uiPriority w:val="99"/>
    <w:semiHidden/>
    <w:rsid w:val="00F60EDD"/>
    <w:rPr>
      <w:rFonts w:ascii="Times New Roman" w:eastAsia="Times New Roman" w:hAnsi="Times New Roman" w:cs="Times New Roman"/>
      <w:sz w:val="24"/>
      <w:szCs w:val="24"/>
    </w:rPr>
  </w:style>
  <w:style w:type="paragraph" w:customStyle="1" w:styleId="Headerorfooter20">
    <w:name w:val="Header or footer (2)"/>
    <w:basedOn w:val="Normal"/>
    <w:link w:val="Headerorfooter2"/>
    <w:rsid w:val="00F60EDD"/>
    <w:pPr>
      <w:widowControl w:val="0"/>
      <w:shd w:val="clear" w:color="auto" w:fill="FFFFFF"/>
    </w:pPr>
    <w:rPr>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F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34F1C"/>
    <w:pPr>
      <w:tabs>
        <w:tab w:val="center" w:pos="4680"/>
        <w:tab w:val="right" w:pos="9360"/>
      </w:tabs>
    </w:pPr>
  </w:style>
  <w:style w:type="character" w:customStyle="1" w:styleId="FooterChar">
    <w:name w:val="Footer Char"/>
    <w:basedOn w:val="DefaultParagraphFont"/>
    <w:link w:val="Footer"/>
    <w:uiPriority w:val="99"/>
    <w:rsid w:val="00D34F1C"/>
    <w:rPr>
      <w:rFonts w:ascii="Times New Roman" w:eastAsia="Times New Roman" w:hAnsi="Times New Roman" w:cs="Times New Roman"/>
      <w:sz w:val="24"/>
      <w:szCs w:val="24"/>
    </w:rPr>
  </w:style>
  <w:style w:type="paragraph" w:styleId="NormalWeb">
    <w:name w:val="Normal (Web)"/>
    <w:basedOn w:val="Normal"/>
    <w:uiPriority w:val="99"/>
    <w:unhideWhenUsed/>
    <w:rsid w:val="00D34F1C"/>
    <w:pPr>
      <w:spacing w:before="100" w:beforeAutospacing="1" w:after="100" w:afterAutospacing="1"/>
    </w:pPr>
  </w:style>
  <w:style w:type="character" w:styleId="Hyperlink">
    <w:name w:val="Hyperlink"/>
    <w:basedOn w:val="DefaultParagraphFont"/>
    <w:uiPriority w:val="99"/>
    <w:semiHidden/>
    <w:unhideWhenUsed/>
    <w:rsid w:val="00D34F1C"/>
    <w:rPr>
      <w:color w:val="0000FF"/>
      <w:u w:val="single"/>
    </w:rPr>
  </w:style>
  <w:style w:type="paragraph" w:styleId="Header">
    <w:name w:val="header"/>
    <w:basedOn w:val="Normal"/>
    <w:link w:val="HeaderChar"/>
    <w:uiPriority w:val="99"/>
    <w:unhideWhenUsed/>
    <w:rsid w:val="003C7CCB"/>
    <w:pPr>
      <w:tabs>
        <w:tab w:val="center" w:pos="4680"/>
        <w:tab w:val="right" w:pos="9360"/>
      </w:tabs>
    </w:pPr>
  </w:style>
  <w:style w:type="character" w:customStyle="1" w:styleId="HeaderChar">
    <w:name w:val="Header Char"/>
    <w:basedOn w:val="DefaultParagraphFont"/>
    <w:link w:val="Header"/>
    <w:uiPriority w:val="99"/>
    <w:rsid w:val="003C7CC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00AE"/>
    <w:rPr>
      <w:rFonts w:ascii="Tahoma" w:hAnsi="Tahoma" w:cs="Tahoma"/>
      <w:sz w:val="16"/>
      <w:szCs w:val="16"/>
    </w:rPr>
  </w:style>
  <w:style w:type="character" w:customStyle="1" w:styleId="BalloonTextChar">
    <w:name w:val="Balloon Text Char"/>
    <w:basedOn w:val="DefaultParagraphFont"/>
    <w:link w:val="BalloonText"/>
    <w:uiPriority w:val="99"/>
    <w:semiHidden/>
    <w:rsid w:val="005800AE"/>
    <w:rPr>
      <w:rFonts w:ascii="Tahoma" w:eastAsia="Times New Roman" w:hAnsi="Tahoma" w:cs="Tahoma"/>
      <w:sz w:val="16"/>
      <w:szCs w:val="16"/>
    </w:rPr>
  </w:style>
  <w:style w:type="paragraph" w:styleId="ListParagraph">
    <w:name w:val="List Paragraph"/>
    <w:basedOn w:val="Normal"/>
    <w:uiPriority w:val="34"/>
    <w:qFormat/>
    <w:rsid w:val="006B27D3"/>
    <w:pPr>
      <w:ind w:left="720"/>
      <w:contextualSpacing/>
    </w:pPr>
  </w:style>
  <w:style w:type="table" w:styleId="TableGrid">
    <w:name w:val="Table Grid"/>
    <w:basedOn w:val="TableNormal"/>
    <w:uiPriority w:val="59"/>
    <w:rsid w:val="006F23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F60EDD"/>
    <w:rPr>
      <w:rFonts w:ascii="Times New Roman" w:eastAsia="Times New Roman" w:hAnsi="Times New Roman" w:cs="Times New Roman"/>
      <w:sz w:val="26"/>
      <w:szCs w:val="26"/>
      <w:shd w:val="clear" w:color="auto" w:fill="FFFFFF"/>
    </w:rPr>
  </w:style>
  <w:style w:type="character" w:customStyle="1" w:styleId="Headerorfooter2">
    <w:name w:val="Header or footer (2)_"/>
    <w:basedOn w:val="DefaultParagraphFont"/>
    <w:link w:val="Headerorfooter20"/>
    <w:rsid w:val="00F60EDD"/>
    <w:rPr>
      <w:rFonts w:ascii="Times New Roman" w:eastAsia="Times New Roman" w:hAnsi="Times New Roman" w:cs="Times New Roman"/>
      <w:sz w:val="20"/>
      <w:szCs w:val="20"/>
      <w:shd w:val="clear" w:color="auto" w:fill="FFFFFF"/>
      <w:lang w:bidi="en-US"/>
    </w:rPr>
  </w:style>
  <w:style w:type="paragraph" w:styleId="BodyText">
    <w:name w:val="Body Text"/>
    <w:basedOn w:val="Normal"/>
    <w:link w:val="BodyTextChar"/>
    <w:qFormat/>
    <w:rsid w:val="00F60EDD"/>
    <w:pPr>
      <w:widowControl w:val="0"/>
      <w:shd w:val="clear" w:color="auto" w:fill="FFFFFF"/>
      <w:spacing w:after="100"/>
      <w:ind w:firstLine="400"/>
    </w:pPr>
    <w:rPr>
      <w:sz w:val="26"/>
      <w:szCs w:val="26"/>
    </w:rPr>
  </w:style>
  <w:style w:type="character" w:customStyle="1" w:styleId="BodyTextChar1">
    <w:name w:val="Body Text Char1"/>
    <w:basedOn w:val="DefaultParagraphFont"/>
    <w:uiPriority w:val="99"/>
    <w:semiHidden/>
    <w:rsid w:val="00F60EDD"/>
    <w:rPr>
      <w:rFonts w:ascii="Times New Roman" w:eastAsia="Times New Roman" w:hAnsi="Times New Roman" w:cs="Times New Roman"/>
      <w:sz w:val="24"/>
      <w:szCs w:val="24"/>
    </w:rPr>
  </w:style>
  <w:style w:type="paragraph" w:customStyle="1" w:styleId="Headerorfooter20">
    <w:name w:val="Header or footer (2)"/>
    <w:basedOn w:val="Normal"/>
    <w:link w:val="Headerorfooter2"/>
    <w:rsid w:val="00F60EDD"/>
    <w:pPr>
      <w:widowControl w:val="0"/>
      <w:shd w:val="clear" w:color="auto" w:fill="FFFFFF"/>
    </w:pPr>
    <w:rPr>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76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DC84A-8124-4FAC-9873-21202A4ED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3</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Minh Trung</cp:lastModifiedBy>
  <cp:revision>182</cp:revision>
  <cp:lastPrinted>2023-03-08T07:12:00Z</cp:lastPrinted>
  <dcterms:created xsi:type="dcterms:W3CDTF">2019-12-09T10:00:00Z</dcterms:created>
  <dcterms:modified xsi:type="dcterms:W3CDTF">2023-03-15T00:42:00Z</dcterms:modified>
</cp:coreProperties>
</file>