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ook w:val="04A0" w:firstRow="1" w:lastRow="0" w:firstColumn="1" w:lastColumn="0" w:noHBand="0" w:noVBand="1"/>
      </w:tblPr>
      <w:tblGrid>
        <w:gridCol w:w="3544"/>
        <w:gridCol w:w="5528"/>
      </w:tblGrid>
      <w:tr w:rsidR="007B0712" w:rsidRPr="000A6BD1" w14:paraId="79E29E64" w14:textId="77777777" w:rsidTr="000F216B">
        <w:trPr>
          <w:trHeight w:val="252"/>
          <w:jc w:val="center"/>
        </w:trPr>
        <w:tc>
          <w:tcPr>
            <w:tcW w:w="3544" w:type="dxa"/>
          </w:tcPr>
          <w:p w14:paraId="75F4C952" w14:textId="5F7DB149" w:rsidR="00EB2CC3" w:rsidRPr="00865FD4" w:rsidRDefault="00865FD4" w:rsidP="007B0712">
            <w:pPr>
              <w:spacing w:after="0" w:line="300" w:lineRule="exact"/>
              <w:jc w:val="center"/>
              <w:rPr>
                <w:rFonts w:cs="Times New Roman"/>
                <w:bCs/>
                <w:spacing w:val="-10"/>
                <w:sz w:val="24"/>
                <w:szCs w:val="26"/>
              </w:rPr>
            </w:pPr>
            <w:bookmarkStart w:id="0" w:name="_Hlk64968349"/>
            <w:r w:rsidRPr="00865FD4">
              <w:rPr>
                <w:rFonts w:cs="Times New Roman"/>
                <w:bCs/>
                <w:spacing w:val="-10"/>
                <w:sz w:val="24"/>
                <w:szCs w:val="26"/>
              </w:rPr>
              <w:t>UBND TỈNH NINH THUẬN</w:t>
            </w:r>
          </w:p>
          <w:p w14:paraId="4D9553B4" w14:textId="01426571" w:rsidR="007B0712" w:rsidRPr="009239F2" w:rsidRDefault="00865FD4" w:rsidP="007B0712">
            <w:pPr>
              <w:spacing w:after="0" w:line="300" w:lineRule="exact"/>
              <w:jc w:val="center"/>
              <w:rPr>
                <w:rFonts w:cs="Times New Roman"/>
                <w:spacing w:val="-10"/>
                <w:sz w:val="26"/>
                <w:szCs w:val="26"/>
              </w:rPr>
            </w:pPr>
            <w:r>
              <w:rPr>
                <w:rFonts w:cs="Times New Roman"/>
                <w:b/>
                <w:spacing w:val="-10"/>
                <w:sz w:val="26"/>
                <w:szCs w:val="26"/>
              </w:rPr>
              <w:t>BCĐ THỰC HIỆN CHÍNH SÁCH BHXH, BHYT</w:t>
            </w:r>
          </w:p>
        </w:tc>
        <w:tc>
          <w:tcPr>
            <w:tcW w:w="5528" w:type="dxa"/>
          </w:tcPr>
          <w:p w14:paraId="67702777" w14:textId="77777777" w:rsidR="007B0712" w:rsidRPr="009239F2" w:rsidRDefault="007B0712" w:rsidP="00731B7B">
            <w:pPr>
              <w:spacing w:after="0" w:line="300" w:lineRule="exact"/>
              <w:jc w:val="center"/>
              <w:rPr>
                <w:rFonts w:cs="Times New Roman"/>
                <w:b/>
                <w:spacing w:val="-10"/>
                <w:sz w:val="26"/>
                <w:szCs w:val="26"/>
              </w:rPr>
            </w:pPr>
            <w:r w:rsidRPr="009239F2">
              <w:rPr>
                <w:rFonts w:cs="Times New Roman"/>
                <w:b/>
                <w:spacing w:val="-10"/>
                <w:sz w:val="26"/>
                <w:szCs w:val="26"/>
              </w:rPr>
              <w:t>CỘNG HÒA XÃ HỘI CHỦ NGHĨA VIỆT NAM</w:t>
            </w:r>
          </w:p>
          <w:p w14:paraId="74B90ADC" w14:textId="4DEC1B9A" w:rsidR="00EB2CC3" w:rsidRPr="009239F2" w:rsidRDefault="00881519" w:rsidP="00731B7B">
            <w:pPr>
              <w:spacing w:after="0" w:line="300" w:lineRule="exact"/>
              <w:jc w:val="center"/>
              <w:rPr>
                <w:rFonts w:cs="Times New Roman"/>
                <w:b/>
                <w:spacing w:val="-10"/>
                <w:sz w:val="26"/>
                <w:szCs w:val="26"/>
              </w:rPr>
            </w:pPr>
            <w:r>
              <w:rPr>
                <w:rFonts w:cs="Times New Roman"/>
                <w:b/>
                <w:noProof/>
                <w:spacing w:val="-10"/>
                <w:sz w:val="26"/>
                <w:szCs w:val="26"/>
              </w:rPr>
              <mc:AlternateContent>
                <mc:Choice Requires="wps">
                  <w:drawing>
                    <wp:anchor distT="0" distB="0" distL="114300" distR="114300" simplePos="0" relativeHeight="251660288" behindDoc="0" locked="0" layoutInCell="1" allowOverlap="1" wp14:anchorId="077470FA" wp14:editId="14130DA4">
                      <wp:simplePos x="0" y="0"/>
                      <wp:positionH relativeFrom="column">
                        <wp:posOffset>806450</wp:posOffset>
                      </wp:positionH>
                      <wp:positionV relativeFrom="paragraph">
                        <wp:posOffset>206680</wp:posOffset>
                      </wp:positionV>
                      <wp:extent cx="1791843"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791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6.25pt" to="204.6pt,1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gyMxtQEAALcDAAAOAAAAZHJzL2Uyb0RvYy54bWysU8GO0zAQvSPxD5bvNO2CYIma7qEruCCo 2OUDvM64sbA91tg06d8zdtssAoRWKy6Ox35vZt7zZH0zeScOQMli6ORqsZQCgsbehn0nv91/eHUt Rcoq9MphgE4eIcmbzcsX6zG2cIUDuh5IcJKQ2jF2csg5tk2T9ABepQVGCHxpkLzKHNK+6UmNnN27 5mq5fNuMSH0k1JASn96eLuWm5jcGdP5iTIIsXCe5t1xXqutDWZvNWrV7UnGw+tyGekYXXtnARedU tyor8YPsH6m81YQJTV5o9A0aYzVUDaxmtfxNzd2gIlQtbE6Ks03p/6XVnw87Erbnt5MiKM9PdJdJ 2f2QxRZDYAORxKr4NMbUMnwbdnSOUtxRET0Z8uXLcsRUvT3O3sKUhebD1bv3q+s3r6XQl7vmkRgp 5Y+AXpRNJ50NRbZq1eFTylyMoRcIB6WRU+m6y0cHBezCVzAspRSr7DpEsHUkDoqfv/9eZXCuiiwU Y52bSct/k87YQoM6WE8lzuhaEUOeid4GpL9VzdOlVXPCX1SftBbZD9gf60NUO3g6qkvnSS7j92tc 6Y//2+YnAAAA//8DAFBLAwQUAAYACAAAACEAR7tXi90AAAAJAQAADwAAAGRycy9kb3ducmV2Lnht bEyPwU7DMBBE70j8g7VI3KiDgQIhTlVVQogLoinc3dh1AvY6sp00/D2LOMBxZkezb6rV7B2bTEx9 QAmXiwKYwTboHq2Et93jxR2wlBVq5QIaCV8mwao+PalUqcMRt2ZqsmVUgqlUErqch5Lz1HbGq7QI g0G6HUL0KpOMluuojlTuHRdFseRe9UgfOjWYTWfaz2b0EtxznN7txq7T+LRdNh+vB/Gym6Q8P5vX D8CymfNfGH7wCR1qYtqHEXVijrS4pS1ZwpW4AUaB6+JeANv/Gryu+P8F9TcAAAD//wMAUEsBAi0A FAAGAAgAAAAhALaDOJL+AAAA4QEAABMAAAAAAAAAAAAAAAAAAAAAAFtDb250ZW50X1R5cGVzXS54 bWxQSwECLQAUAAYACAAAACEAOP0h/9YAAACUAQAACwAAAAAAAAAAAAAAAAAvAQAAX3JlbHMvLnJl bHNQSwECLQAUAAYACAAAACEApIMjMbUBAAC3AwAADgAAAAAAAAAAAAAAAAAuAgAAZHJzL2Uyb0Rv Yy54bWxQSwECLQAUAAYACAAAACEAR7tXi90AAAAJAQAADwAAAAAAAAAAAAAAAAAPBAAAZHJzL2Rv d25yZXYueG1sUEsFBgAAAAAEAAQA8wAAABkFAAAAAA== " strokecolor="black [3200]" strokeweight=".5pt">
                      <v:stroke joinstyle="miter"/>
                    </v:line>
                  </w:pict>
                </mc:Fallback>
              </mc:AlternateContent>
            </w:r>
            <w:r w:rsidR="00EB2CC3" w:rsidRPr="009239F2">
              <w:rPr>
                <w:rFonts w:cs="Times New Roman"/>
                <w:b/>
                <w:spacing w:val="-10"/>
                <w:sz w:val="26"/>
                <w:szCs w:val="26"/>
              </w:rPr>
              <w:t>Độc lập - Tự do - Hạnh phúc</w:t>
            </w:r>
          </w:p>
        </w:tc>
      </w:tr>
      <w:tr w:rsidR="007B0712" w:rsidRPr="000A6BD1" w14:paraId="0463F9A8" w14:textId="77777777" w:rsidTr="00881519">
        <w:trPr>
          <w:trHeight w:val="225"/>
          <w:jc w:val="center"/>
        </w:trPr>
        <w:tc>
          <w:tcPr>
            <w:tcW w:w="3544" w:type="dxa"/>
          </w:tcPr>
          <w:p w14:paraId="05E367EE" w14:textId="0508B05F" w:rsidR="007B0712" w:rsidRPr="009239F2" w:rsidRDefault="00EB2CC3" w:rsidP="00EB2CC3">
            <w:pPr>
              <w:spacing w:after="0" w:line="300" w:lineRule="exact"/>
              <w:rPr>
                <w:rFonts w:cs="Times New Roman"/>
                <w:b/>
                <w:spacing w:val="-10"/>
                <w:sz w:val="26"/>
                <w:szCs w:val="26"/>
              </w:rPr>
            </w:pPr>
            <w:r w:rsidRPr="009239F2">
              <w:rPr>
                <w:rFonts w:cs="Times New Roman"/>
                <w:noProof/>
                <w:sz w:val="26"/>
                <w:szCs w:val="26"/>
              </w:rPr>
              <mc:AlternateContent>
                <mc:Choice Requires="wps">
                  <w:drawing>
                    <wp:anchor distT="0" distB="0" distL="114300" distR="114300" simplePos="0" relativeHeight="251659264" behindDoc="0" locked="0" layoutInCell="1" allowOverlap="1" wp14:anchorId="779B581B" wp14:editId="1A766766">
                      <wp:simplePos x="0" y="0"/>
                      <wp:positionH relativeFrom="column">
                        <wp:posOffset>581025</wp:posOffset>
                      </wp:positionH>
                      <wp:positionV relativeFrom="paragraph">
                        <wp:posOffset>70324</wp:posOffset>
                      </wp:positionV>
                      <wp:extent cx="930910" cy="0"/>
                      <wp:effectExtent l="0" t="0" r="2159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3AB3329" id="_x0000_t32" coordsize="21600,21600" o:spt="32" o:oned="t" path="m,l21600,21600e" filled="f">
                      <v:path arrowok="t" fillok="f" o:connecttype="none"/>
                      <o:lock v:ext="edit" shapetype="t"/>
                    </v:shapetype>
                    <v:shape id="AutoShape 7" o:spid="_x0000_s1026" type="#_x0000_t32" style="position:absolute;margin-left:45.75pt;margin-top:5.55pt;width:7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jhxyHQIAADoEAAAOAAAAZHJzL2Uyb0RvYy54bWysU02P2jAQvVfqf7B8hyRsYCEirFYJ9LJt kXb7A4ztJFYd27INAVX97x2bD7HtparKwYwzM2/ezBsvn469RAdundCqxNk4xYgrqplQbYm/vW1G c4ycJ4oRqRUv8Yk7/LT6+GE5mIJPdKcl4xYBiHLFYErceW+KJHG04z1xY224AmejbU88XG2bMEsG QO9lMknTWTJoy4zVlDsHX+uzE68iftNw6r82jeMeyRIDNx9PG89dOJPVkhStJaYT9EKD/AOLnggF RW9QNfEE7a34A6oX1GqnGz+muk900wjKYw/QTZb+1s1rRwyPvcBwnLmNyf0/WPrlsLVIsBLnGCnS g0TPe69jZfQYxjMYV0BUpbY2NEiP6tW8aPrdIaWrjqiWx+C3k4HcLGQk71LCxRkoshs+awYxBPDj rI6N7QMkTAEdoySnmyT86BGFj4uHdJGBcPTqSkhxzTPW+U9c9ygYJXbeEtF2vtJKge7aZrEKObw4 H1iR4poQiiq9EVJG+aVCA1SaTqYxwWkpWHCGMGfbXSUtOpCwQPEXWwTPfZjVe8UiWMcJW19sT4Q8 21BcqoAHfQGdi3XekB+LdLGer+f5KJ/M1qM8revR86bKR7NN9jitH+qqqrOfgVqWF51gjKvA7rqt Wf5323B5N+c9u+3rbQzJe/Q4LyB7/Y+ko7BBy/NW7DQ7be1VcFjQGHx5TOEF3N/Bvn/yq18AAAD/ /wMAUEsDBBQABgAIAAAAIQBMuYyo3AAAAAgBAAAPAAAAZHJzL2Rvd25yZXYueG1sTI9BT8MwDIXv k/gPkZG4TCxN0dBWmk4TEgeObJO4Zo1pC41TNela9usx2mG72e89PX/ON5NrxQn70HjSoBYJCKTS 24YqDYf92+MKRIiGrGk9oYZfDLAp7ma5yawf6QNPu1gJLqGQGQ11jF0mZShrdCYsfIfE3pfvnYm8 9pW0vRm53LUyTZJn6UxDfKE2Hb7WWP7sBqcBw7BUyXbtqsP7eZx/pufvsdtr/XA/bV9ARJziNQz/ +IwOBTMd/UA2iFbDWi05ybpSINhPn1Y8HC+CLHJ5+0DxBwAA//8DAFBLAQItABQABgAIAAAAIQC2 gziS/gAAAOEBAAATAAAAAAAAAAAAAAAAAAAAAABbQ29udGVudF9UeXBlc10ueG1sUEsBAi0AFAAG AAgAAAAhADj9If/WAAAAlAEAAAsAAAAAAAAAAAAAAAAALwEAAF9yZWxzLy5yZWxzUEsBAi0AFAAG AAgAAAAhAEGOHHIdAgAAOgQAAA4AAAAAAAAAAAAAAAAALgIAAGRycy9lMm9Eb2MueG1sUEsBAi0A FAAGAAgAAAAhAEy5jKjcAAAACAEAAA8AAAAAAAAAAAAAAAAAdwQAAGRycy9kb3ducmV2LnhtbFBL BQYAAAAABAAEAPMAAACABQAAAAA= "/>
                  </w:pict>
                </mc:Fallback>
              </mc:AlternateContent>
            </w:r>
          </w:p>
        </w:tc>
        <w:tc>
          <w:tcPr>
            <w:tcW w:w="5528" w:type="dxa"/>
          </w:tcPr>
          <w:p w14:paraId="0016C3D9" w14:textId="3F482624" w:rsidR="007B0712" w:rsidRPr="00881519" w:rsidRDefault="007B0712" w:rsidP="00731B7B">
            <w:pPr>
              <w:spacing w:after="0" w:line="300" w:lineRule="exact"/>
              <w:jc w:val="center"/>
              <w:rPr>
                <w:rFonts w:cs="Times New Roman"/>
                <w:b/>
                <w:spacing w:val="-10"/>
                <w:sz w:val="16"/>
                <w:szCs w:val="26"/>
              </w:rPr>
            </w:pPr>
          </w:p>
        </w:tc>
      </w:tr>
      <w:tr w:rsidR="007B0712" w:rsidRPr="008936FD" w14:paraId="331995FA" w14:textId="77777777" w:rsidTr="000F216B">
        <w:trPr>
          <w:trHeight w:val="1440"/>
          <w:jc w:val="center"/>
        </w:trPr>
        <w:tc>
          <w:tcPr>
            <w:tcW w:w="3544" w:type="dxa"/>
          </w:tcPr>
          <w:p w14:paraId="34A35F83" w14:textId="710F2218" w:rsidR="007B0712" w:rsidRPr="009239F2" w:rsidRDefault="007B0712" w:rsidP="007B0712">
            <w:pPr>
              <w:tabs>
                <w:tab w:val="left" w:pos="461"/>
                <w:tab w:val="center" w:pos="1947"/>
              </w:tabs>
              <w:spacing w:before="120" w:after="0" w:line="300" w:lineRule="exact"/>
              <w:jc w:val="center"/>
              <w:rPr>
                <w:rFonts w:cs="Times New Roman"/>
                <w:sz w:val="26"/>
                <w:szCs w:val="26"/>
              </w:rPr>
            </w:pPr>
            <w:r w:rsidRPr="009239F2">
              <w:rPr>
                <w:rFonts w:cs="Times New Roman"/>
                <w:sz w:val="26"/>
                <w:szCs w:val="26"/>
              </w:rPr>
              <w:t>Số:          /</w:t>
            </w:r>
            <w:r w:rsidR="00865FD4">
              <w:rPr>
                <w:rFonts w:cs="Times New Roman"/>
                <w:sz w:val="26"/>
                <w:szCs w:val="26"/>
              </w:rPr>
              <w:t>CV-BCĐ</w:t>
            </w:r>
          </w:p>
          <w:p w14:paraId="0A6D60C0" w14:textId="3B555F67" w:rsidR="007B0712" w:rsidRPr="009239F2" w:rsidRDefault="007B0712" w:rsidP="00191DCA">
            <w:pPr>
              <w:pStyle w:val="Default"/>
              <w:jc w:val="center"/>
              <w:rPr>
                <w:sz w:val="26"/>
                <w:szCs w:val="26"/>
              </w:rPr>
            </w:pPr>
            <w:r w:rsidRPr="00191DCA">
              <w:t>V</w:t>
            </w:r>
            <w:r w:rsidRPr="00191DCA">
              <w:rPr>
                <w:bCs/>
                <w:iCs/>
              </w:rPr>
              <w:t xml:space="preserve">/v </w:t>
            </w:r>
            <w:r w:rsidR="00191DCA" w:rsidRPr="00191DCA">
              <w:rPr>
                <w:bCs/>
                <w:iCs/>
              </w:rPr>
              <w:t xml:space="preserve">đẩy mạnh </w:t>
            </w:r>
            <w:r w:rsidR="00191DCA" w:rsidRPr="00191DCA">
              <w:t>thực hiện chính sách BHXH, BHYT</w:t>
            </w:r>
            <w:r w:rsidR="00191DCA">
              <w:t xml:space="preserve"> theo các văn bản của </w:t>
            </w:r>
            <w:r w:rsidR="008936FD" w:rsidRPr="00191DCA">
              <w:rPr>
                <w:bCs/>
                <w:iCs/>
              </w:rPr>
              <w:t>BHXH</w:t>
            </w:r>
            <w:r w:rsidR="00191DCA">
              <w:rPr>
                <w:bCs/>
                <w:iCs/>
              </w:rPr>
              <w:t xml:space="preserve"> </w:t>
            </w:r>
            <w:r w:rsidR="008936FD" w:rsidRPr="00191DCA">
              <w:rPr>
                <w:bCs/>
                <w:iCs/>
              </w:rPr>
              <w:t>Việt Nam</w:t>
            </w:r>
            <w:r w:rsidR="00191DCA">
              <w:rPr>
                <w:bCs/>
                <w:iCs/>
              </w:rPr>
              <w:t>.</w:t>
            </w:r>
          </w:p>
        </w:tc>
        <w:tc>
          <w:tcPr>
            <w:tcW w:w="5528" w:type="dxa"/>
          </w:tcPr>
          <w:p w14:paraId="21256828" w14:textId="376C96D6" w:rsidR="007B0712" w:rsidRPr="009239F2" w:rsidRDefault="007B0712" w:rsidP="00731B7B">
            <w:pPr>
              <w:spacing w:before="120" w:after="0" w:line="300" w:lineRule="exact"/>
              <w:jc w:val="center"/>
              <w:rPr>
                <w:rFonts w:cs="Times New Roman"/>
                <w:i/>
                <w:sz w:val="26"/>
                <w:szCs w:val="26"/>
              </w:rPr>
            </w:pPr>
            <w:r w:rsidRPr="009239F2">
              <w:rPr>
                <w:rFonts w:cs="Times New Roman"/>
                <w:i/>
                <w:sz w:val="26"/>
                <w:szCs w:val="26"/>
              </w:rPr>
              <w:t>Ninh Thuận, ngày      tháng 6 năm 2022</w:t>
            </w:r>
          </w:p>
        </w:tc>
      </w:tr>
      <w:bookmarkEnd w:id="0"/>
    </w:tbl>
    <w:p w14:paraId="5C5269EC" w14:textId="77777777" w:rsidR="002E3AE3" w:rsidRPr="008936FD" w:rsidRDefault="002E3AE3" w:rsidP="002E3AE3">
      <w:pPr>
        <w:pStyle w:val="Default"/>
        <w:rPr>
          <w:color w:val="auto"/>
          <w:sz w:val="26"/>
          <w:szCs w:val="26"/>
        </w:rPr>
      </w:pPr>
    </w:p>
    <w:p w14:paraId="53BC2E61" w14:textId="77777777" w:rsidR="002E3AE3" w:rsidRDefault="002E3AE3" w:rsidP="002E3AE3">
      <w:pPr>
        <w:pStyle w:val="Default"/>
      </w:pPr>
    </w:p>
    <w:tbl>
      <w:tblPr>
        <w:tblStyle w:val="TableGrid"/>
        <w:tblW w:w="906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650"/>
      </w:tblGrid>
      <w:tr w:rsidR="007B0712" w14:paraId="074ED978" w14:textId="77777777" w:rsidTr="00EB2CC3">
        <w:tc>
          <w:tcPr>
            <w:tcW w:w="1417" w:type="dxa"/>
          </w:tcPr>
          <w:p w14:paraId="1314AA75" w14:textId="7919AF7B" w:rsidR="007B0712" w:rsidRDefault="00E30A22" w:rsidP="00E30A22">
            <w:pPr>
              <w:pStyle w:val="Default"/>
              <w:rPr>
                <w:sz w:val="28"/>
                <w:szCs w:val="28"/>
              </w:rPr>
            </w:pPr>
            <w:r>
              <w:rPr>
                <w:sz w:val="28"/>
                <w:szCs w:val="28"/>
              </w:rPr>
              <w:t xml:space="preserve"> </w:t>
            </w:r>
            <w:r w:rsidR="007B0712" w:rsidRPr="007B0712">
              <w:rPr>
                <w:sz w:val="28"/>
                <w:szCs w:val="28"/>
              </w:rPr>
              <w:t>Kính gửi:</w:t>
            </w:r>
          </w:p>
        </w:tc>
        <w:tc>
          <w:tcPr>
            <w:tcW w:w="7650" w:type="dxa"/>
          </w:tcPr>
          <w:p w14:paraId="1ADC0F97" w14:textId="77777777" w:rsidR="007B0712" w:rsidRDefault="007B0712" w:rsidP="00E30A22">
            <w:pPr>
              <w:pStyle w:val="Default"/>
              <w:rPr>
                <w:sz w:val="28"/>
                <w:szCs w:val="28"/>
              </w:rPr>
            </w:pPr>
          </w:p>
        </w:tc>
      </w:tr>
      <w:tr w:rsidR="007B0712" w14:paraId="6BA45967" w14:textId="77777777" w:rsidTr="00EB2CC3">
        <w:tc>
          <w:tcPr>
            <w:tcW w:w="1417" w:type="dxa"/>
          </w:tcPr>
          <w:p w14:paraId="76F97A40" w14:textId="77777777" w:rsidR="007B0712" w:rsidRDefault="007B0712" w:rsidP="00E30A22">
            <w:pPr>
              <w:pStyle w:val="Default"/>
              <w:rPr>
                <w:sz w:val="28"/>
                <w:szCs w:val="28"/>
              </w:rPr>
            </w:pPr>
          </w:p>
        </w:tc>
        <w:tc>
          <w:tcPr>
            <w:tcW w:w="7650" w:type="dxa"/>
          </w:tcPr>
          <w:p w14:paraId="21303711" w14:textId="6D6DC77D" w:rsidR="00DF6A39" w:rsidRPr="000844C5" w:rsidRDefault="00DF6A39" w:rsidP="00E30A22">
            <w:pPr>
              <w:pStyle w:val="Default"/>
              <w:rPr>
                <w:sz w:val="28"/>
                <w:szCs w:val="28"/>
              </w:rPr>
            </w:pPr>
            <w:r w:rsidRPr="000844C5">
              <w:rPr>
                <w:sz w:val="28"/>
                <w:szCs w:val="28"/>
              </w:rPr>
              <w:t>- Sở Thông tin và Truyền thông;</w:t>
            </w:r>
          </w:p>
          <w:p w14:paraId="39DC380E" w14:textId="77777777" w:rsidR="00DF6A39" w:rsidRPr="000844C5" w:rsidRDefault="00DF6A39" w:rsidP="00E30A22">
            <w:pPr>
              <w:pStyle w:val="Default"/>
              <w:rPr>
                <w:rFonts w:eastAsia="Times New Roman"/>
                <w:color w:val="auto"/>
                <w:sz w:val="28"/>
                <w:szCs w:val="28"/>
              </w:rPr>
            </w:pPr>
            <w:r w:rsidRPr="000844C5">
              <w:rPr>
                <w:sz w:val="28"/>
                <w:szCs w:val="28"/>
              </w:rPr>
              <w:t xml:space="preserve">- </w:t>
            </w:r>
            <w:r w:rsidRPr="000844C5">
              <w:rPr>
                <w:rFonts w:eastAsia="Times New Roman"/>
                <w:color w:val="auto"/>
                <w:sz w:val="28"/>
                <w:szCs w:val="28"/>
              </w:rPr>
              <w:t>Hội Liên hiệp Phụ nữ tỉnh;</w:t>
            </w:r>
          </w:p>
          <w:p w14:paraId="04D8A00F" w14:textId="77777777" w:rsidR="000844C5" w:rsidRPr="000844C5" w:rsidRDefault="00DF6A39" w:rsidP="00E30A22">
            <w:pPr>
              <w:pStyle w:val="Default"/>
              <w:rPr>
                <w:rFonts w:eastAsia="Times New Roman"/>
                <w:color w:val="auto"/>
                <w:sz w:val="28"/>
                <w:szCs w:val="28"/>
              </w:rPr>
            </w:pPr>
            <w:r w:rsidRPr="000844C5">
              <w:rPr>
                <w:rFonts w:eastAsia="Times New Roman"/>
                <w:color w:val="auto"/>
                <w:sz w:val="28"/>
                <w:szCs w:val="28"/>
              </w:rPr>
              <w:t>- Hội Nông dân tỉnh;</w:t>
            </w:r>
          </w:p>
          <w:p w14:paraId="278B02CB" w14:textId="365914EC" w:rsidR="00DF6A39" w:rsidRPr="000844C5" w:rsidRDefault="000844C5" w:rsidP="00E30A22">
            <w:pPr>
              <w:pStyle w:val="Default"/>
              <w:rPr>
                <w:sz w:val="28"/>
                <w:szCs w:val="28"/>
              </w:rPr>
            </w:pPr>
            <w:r w:rsidRPr="000844C5">
              <w:rPr>
                <w:rFonts w:eastAsia="Times New Roman"/>
                <w:color w:val="auto"/>
                <w:sz w:val="28"/>
                <w:szCs w:val="28"/>
              </w:rPr>
              <w:t xml:space="preserve">- </w:t>
            </w:r>
            <w:r w:rsidR="00DF6A39" w:rsidRPr="000844C5">
              <w:rPr>
                <w:rFonts w:eastAsia="Times New Roman"/>
                <w:color w:val="auto"/>
                <w:sz w:val="28"/>
                <w:szCs w:val="28"/>
              </w:rPr>
              <w:t>Tỉnh Đoàn</w:t>
            </w:r>
            <w:r w:rsidRPr="000844C5">
              <w:rPr>
                <w:rFonts w:eastAsia="Times New Roman"/>
                <w:color w:val="auto"/>
                <w:sz w:val="28"/>
                <w:szCs w:val="28"/>
              </w:rPr>
              <w:t>;</w:t>
            </w:r>
          </w:p>
          <w:p w14:paraId="63104097" w14:textId="5F5B446C" w:rsidR="00E30A22" w:rsidRDefault="00E30A22" w:rsidP="00E30A22">
            <w:pPr>
              <w:pStyle w:val="Default"/>
              <w:rPr>
                <w:sz w:val="28"/>
                <w:szCs w:val="28"/>
              </w:rPr>
            </w:pPr>
            <w:r w:rsidRPr="007B0712">
              <w:rPr>
                <w:sz w:val="28"/>
                <w:szCs w:val="28"/>
              </w:rPr>
              <w:t xml:space="preserve">- </w:t>
            </w:r>
            <w:r>
              <w:rPr>
                <w:sz w:val="28"/>
                <w:szCs w:val="28"/>
              </w:rPr>
              <w:t>Bảo hiểm xã hội</w:t>
            </w:r>
            <w:r w:rsidRPr="007B0712">
              <w:rPr>
                <w:sz w:val="28"/>
                <w:szCs w:val="28"/>
              </w:rPr>
              <w:t xml:space="preserve"> tỉnh</w:t>
            </w:r>
            <w:r>
              <w:rPr>
                <w:sz w:val="28"/>
                <w:szCs w:val="28"/>
              </w:rPr>
              <w:t>;</w:t>
            </w:r>
          </w:p>
          <w:p w14:paraId="5BD3E927" w14:textId="22063AEE" w:rsidR="007B0712" w:rsidRDefault="007B0712" w:rsidP="00E30A22">
            <w:pPr>
              <w:pStyle w:val="Default"/>
              <w:rPr>
                <w:sz w:val="28"/>
                <w:szCs w:val="28"/>
              </w:rPr>
            </w:pPr>
            <w:r w:rsidRPr="007B0712">
              <w:rPr>
                <w:sz w:val="28"/>
                <w:szCs w:val="28"/>
              </w:rPr>
              <w:t>-</w:t>
            </w:r>
            <w:r>
              <w:rPr>
                <w:sz w:val="28"/>
                <w:szCs w:val="28"/>
              </w:rPr>
              <w:t xml:space="preserve"> </w:t>
            </w:r>
            <w:r w:rsidR="00EB2CC3">
              <w:rPr>
                <w:sz w:val="28"/>
                <w:szCs w:val="28"/>
              </w:rPr>
              <w:t>Ủy ban nhân dân</w:t>
            </w:r>
            <w:r>
              <w:rPr>
                <w:sz w:val="28"/>
                <w:szCs w:val="28"/>
              </w:rPr>
              <w:t xml:space="preserve"> các huyện, thành phố</w:t>
            </w:r>
            <w:r w:rsidR="00E30A22">
              <w:rPr>
                <w:sz w:val="28"/>
                <w:szCs w:val="28"/>
              </w:rPr>
              <w:t>.</w:t>
            </w:r>
          </w:p>
        </w:tc>
      </w:tr>
      <w:tr w:rsidR="007B0712" w14:paraId="0C9244DF" w14:textId="77777777" w:rsidTr="00EB2CC3">
        <w:tc>
          <w:tcPr>
            <w:tcW w:w="1417" w:type="dxa"/>
          </w:tcPr>
          <w:p w14:paraId="1B06B543" w14:textId="77777777" w:rsidR="007B0712" w:rsidRDefault="007B0712" w:rsidP="00E30A22">
            <w:pPr>
              <w:pStyle w:val="Default"/>
              <w:rPr>
                <w:sz w:val="28"/>
                <w:szCs w:val="28"/>
              </w:rPr>
            </w:pPr>
          </w:p>
        </w:tc>
        <w:tc>
          <w:tcPr>
            <w:tcW w:w="7650" w:type="dxa"/>
          </w:tcPr>
          <w:p w14:paraId="6B649418" w14:textId="36B6FD08" w:rsidR="007B0712" w:rsidRDefault="007B0712" w:rsidP="00E30A22">
            <w:pPr>
              <w:pStyle w:val="Default"/>
              <w:rPr>
                <w:sz w:val="28"/>
                <w:szCs w:val="28"/>
              </w:rPr>
            </w:pPr>
          </w:p>
        </w:tc>
      </w:tr>
    </w:tbl>
    <w:p w14:paraId="3BCB4530" w14:textId="1CB500D8" w:rsidR="002E3AE3" w:rsidRPr="008643F5" w:rsidRDefault="002E3AE3" w:rsidP="009B1242">
      <w:pPr>
        <w:pStyle w:val="Default"/>
        <w:rPr>
          <w:sz w:val="2"/>
          <w:szCs w:val="26"/>
        </w:rPr>
      </w:pPr>
    </w:p>
    <w:p w14:paraId="002A25F2" w14:textId="77777777" w:rsidR="002E3AE3" w:rsidRDefault="002E3AE3" w:rsidP="002E3AE3">
      <w:pPr>
        <w:pStyle w:val="Default"/>
        <w:rPr>
          <w:sz w:val="26"/>
          <w:szCs w:val="26"/>
        </w:rPr>
      </w:pPr>
    </w:p>
    <w:p w14:paraId="6BFE70C8" w14:textId="39FF1017" w:rsidR="002E3AE3" w:rsidRPr="00191DCA" w:rsidRDefault="006F2DC5" w:rsidP="006F2DC5">
      <w:pPr>
        <w:pStyle w:val="Default"/>
        <w:spacing w:before="120"/>
        <w:ind w:firstLine="720"/>
        <w:jc w:val="both"/>
        <w:rPr>
          <w:rFonts w:eastAsia="Times New Roman"/>
          <w:i/>
          <w:color w:val="auto"/>
          <w:sz w:val="28"/>
          <w:szCs w:val="28"/>
        </w:rPr>
      </w:pPr>
      <w:r w:rsidRPr="00191DCA">
        <w:rPr>
          <w:rFonts w:eastAsia="Times New Roman"/>
          <w:color w:val="auto"/>
          <w:sz w:val="28"/>
          <w:szCs w:val="28"/>
        </w:rPr>
        <w:t xml:space="preserve">Thực hiện </w:t>
      </w:r>
      <w:r w:rsidR="002E3AE3" w:rsidRPr="00191DCA">
        <w:rPr>
          <w:rFonts w:eastAsia="Times New Roman"/>
          <w:color w:val="auto"/>
          <w:sz w:val="28"/>
          <w:szCs w:val="28"/>
        </w:rPr>
        <w:t>Quyết định số 1155/QĐ-BHXH ngày 12/5/2022 của Tổng Giám đốc Bảo hiểm xã hội (BHXH) Việt Nam về việc ban hành Quy chế quản lý hoạt động của tổ chức dịch vụ thu BHXH, bảo hiểm y tế (BHYT)</w:t>
      </w:r>
      <w:r w:rsidR="008643F5" w:rsidRPr="00191DCA">
        <w:rPr>
          <w:rFonts w:eastAsia="Times New Roman"/>
          <w:color w:val="auto"/>
          <w:sz w:val="28"/>
          <w:szCs w:val="28"/>
        </w:rPr>
        <w:t xml:space="preserve"> và</w:t>
      </w:r>
      <w:r w:rsidR="002E3AE3" w:rsidRPr="00191DCA">
        <w:rPr>
          <w:rFonts w:eastAsia="Times New Roman"/>
          <w:color w:val="auto"/>
          <w:sz w:val="28"/>
          <w:szCs w:val="28"/>
        </w:rPr>
        <w:t xml:space="preserve"> Công văn số 1234/BHXH-TST ngày 11/5/2022 </w:t>
      </w:r>
      <w:r w:rsidR="00881519">
        <w:rPr>
          <w:rFonts w:eastAsia="Times New Roman"/>
          <w:color w:val="auto"/>
          <w:sz w:val="28"/>
          <w:szCs w:val="28"/>
        </w:rPr>
        <w:t xml:space="preserve">của Bảo hiểm xã hội Việt Nam </w:t>
      </w:r>
      <w:r w:rsidR="002E3AE3" w:rsidRPr="00191DCA">
        <w:rPr>
          <w:rFonts w:eastAsia="Times New Roman"/>
          <w:color w:val="auto"/>
          <w:sz w:val="28"/>
          <w:szCs w:val="28"/>
        </w:rPr>
        <w:t>về việc ký Quy chế phối hợp</w:t>
      </w:r>
      <w:r w:rsidR="00F86149" w:rsidRPr="00191DCA">
        <w:rPr>
          <w:rFonts w:eastAsia="Times New Roman"/>
          <w:color w:val="auto"/>
          <w:sz w:val="28"/>
          <w:szCs w:val="28"/>
        </w:rPr>
        <w:t xml:space="preserve"> </w:t>
      </w:r>
      <w:r w:rsidR="002E3AE3" w:rsidRPr="00191DCA">
        <w:rPr>
          <w:rFonts w:eastAsia="Times New Roman"/>
          <w:i/>
          <w:color w:val="auto"/>
          <w:sz w:val="28"/>
          <w:szCs w:val="28"/>
        </w:rPr>
        <w:t xml:space="preserve">(Gửi kèm </w:t>
      </w:r>
      <w:r w:rsidR="008643F5" w:rsidRPr="00191DCA">
        <w:rPr>
          <w:rFonts w:eastAsia="Times New Roman"/>
          <w:i/>
          <w:color w:val="auto"/>
          <w:sz w:val="28"/>
          <w:szCs w:val="28"/>
        </w:rPr>
        <w:t>các văn bản trên</w:t>
      </w:r>
      <w:r w:rsidR="002E3AE3" w:rsidRPr="00191DCA">
        <w:rPr>
          <w:rFonts w:eastAsia="Times New Roman"/>
          <w:i/>
          <w:color w:val="auto"/>
          <w:sz w:val="28"/>
          <w:szCs w:val="28"/>
        </w:rPr>
        <w:t>)</w:t>
      </w:r>
      <w:r w:rsidR="008643F5" w:rsidRPr="00191DCA">
        <w:rPr>
          <w:rFonts w:eastAsia="Times New Roman"/>
          <w:i/>
          <w:color w:val="auto"/>
          <w:sz w:val="28"/>
          <w:szCs w:val="28"/>
        </w:rPr>
        <w:t>;</w:t>
      </w:r>
      <w:r w:rsidR="002E3AE3" w:rsidRPr="00191DCA">
        <w:rPr>
          <w:rFonts w:eastAsia="Times New Roman"/>
          <w:i/>
          <w:color w:val="auto"/>
          <w:sz w:val="28"/>
          <w:szCs w:val="28"/>
        </w:rPr>
        <w:t xml:space="preserve"> </w:t>
      </w:r>
    </w:p>
    <w:p w14:paraId="352E220A" w14:textId="4B5A14EA" w:rsidR="00A57A96" w:rsidRPr="00191DCA" w:rsidRDefault="00994EEB" w:rsidP="006F2DC5">
      <w:pPr>
        <w:pStyle w:val="Default"/>
        <w:spacing w:before="120"/>
        <w:ind w:firstLine="720"/>
        <w:jc w:val="both"/>
        <w:rPr>
          <w:rFonts w:eastAsia="Times New Roman"/>
          <w:color w:val="auto"/>
          <w:sz w:val="28"/>
          <w:szCs w:val="28"/>
        </w:rPr>
      </w:pPr>
      <w:r w:rsidRPr="00191DCA">
        <w:rPr>
          <w:rFonts w:eastAsia="Times New Roman"/>
          <w:color w:val="auto"/>
          <w:sz w:val="28"/>
          <w:szCs w:val="28"/>
        </w:rPr>
        <w:t xml:space="preserve"> </w:t>
      </w:r>
      <w:r w:rsidR="00B47B26" w:rsidRPr="00191DCA">
        <w:rPr>
          <w:rFonts w:eastAsia="Times New Roman"/>
          <w:color w:val="auto"/>
          <w:sz w:val="28"/>
          <w:szCs w:val="28"/>
        </w:rPr>
        <w:t>Để tổ chức</w:t>
      </w:r>
      <w:r w:rsidR="007C02A2" w:rsidRPr="00191DCA">
        <w:rPr>
          <w:rFonts w:eastAsia="Times New Roman"/>
          <w:color w:val="auto"/>
          <w:sz w:val="28"/>
          <w:szCs w:val="28"/>
        </w:rPr>
        <w:t xml:space="preserve"> thực hiện </w:t>
      </w:r>
      <w:r w:rsidR="00B47B26" w:rsidRPr="00191DCA">
        <w:rPr>
          <w:rFonts w:eastAsia="Times New Roman"/>
          <w:color w:val="auto"/>
          <w:sz w:val="28"/>
          <w:szCs w:val="28"/>
        </w:rPr>
        <w:t>tốt chính sách BHXH, BHYT</w:t>
      </w:r>
      <w:r w:rsidR="00B37FD2" w:rsidRPr="00191DCA">
        <w:rPr>
          <w:rFonts w:eastAsia="Times New Roman"/>
          <w:color w:val="auto"/>
          <w:sz w:val="28"/>
          <w:szCs w:val="28"/>
        </w:rPr>
        <w:t>, p</w:t>
      </w:r>
      <w:r w:rsidR="00377370" w:rsidRPr="00191DCA">
        <w:rPr>
          <w:sz w:val="28"/>
          <w:szCs w:val="28"/>
        </w:rPr>
        <w:t xml:space="preserve">hấn đấu đạt mục tiêu đã đề ra tại </w:t>
      </w:r>
      <w:r w:rsidR="00B37FD2" w:rsidRPr="00191DCA">
        <w:rPr>
          <w:sz w:val="28"/>
          <w:szCs w:val="28"/>
        </w:rPr>
        <w:t xml:space="preserve">Nghị quyết số 20-NQ/TW ngày 25/10/2017 của Hội nghị lần thứ Sáu Ban Chấp hành Trung ương Đảng khóa XII về “Tăng cường công tác bảo vệ, chăm sóc và nâng cao sức khỏe nhân dân trong tình hình mới” và </w:t>
      </w:r>
      <w:r w:rsidR="00377370" w:rsidRPr="00191DCA">
        <w:rPr>
          <w:sz w:val="28"/>
          <w:szCs w:val="28"/>
        </w:rPr>
        <w:t xml:space="preserve">Nghị quyết số 28-NQ/TW ngày 23/5/2018 của Hội nghị lần thứ </w:t>
      </w:r>
      <w:r w:rsidR="0033586C" w:rsidRPr="00191DCA">
        <w:rPr>
          <w:sz w:val="28"/>
          <w:szCs w:val="28"/>
        </w:rPr>
        <w:t>B</w:t>
      </w:r>
      <w:r w:rsidR="00377370" w:rsidRPr="00191DCA">
        <w:rPr>
          <w:sz w:val="28"/>
          <w:szCs w:val="28"/>
        </w:rPr>
        <w:t xml:space="preserve">ảy Ban Chấp hành Trung ương khóa XII về </w:t>
      </w:r>
      <w:r w:rsidR="00B37FD2" w:rsidRPr="00191DCA">
        <w:rPr>
          <w:sz w:val="28"/>
          <w:szCs w:val="28"/>
        </w:rPr>
        <w:t>“C</w:t>
      </w:r>
      <w:r w:rsidR="00377370" w:rsidRPr="00191DCA">
        <w:rPr>
          <w:sz w:val="28"/>
          <w:szCs w:val="28"/>
        </w:rPr>
        <w:t>ải cách chính sách BHXH</w:t>
      </w:r>
      <w:r w:rsidR="00B37FD2" w:rsidRPr="00191DCA">
        <w:rPr>
          <w:sz w:val="28"/>
          <w:szCs w:val="28"/>
        </w:rPr>
        <w:t xml:space="preserve">”; </w:t>
      </w:r>
      <w:r w:rsidR="00B37FD2" w:rsidRPr="00191DCA">
        <w:rPr>
          <w:rFonts w:eastAsia="Times New Roman"/>
          <w:color w:val="auto"/>
          <w:sz w:val="28"/>
          <w:szCs w:val="28"/>
        </w:rPr>
        <w:t>phấn đấu hoàn thành chỉ tiêu về số người tham gia BHXH, chỉ tiêu bao phủ BHYT giai đoạn 2022-2025 trên địa bàn tỉnh, nhằm đảm bảo quyền lợi người dân và an sinh xã hội</w:t>
      </w:r>
      <w:r w:rsidR="00E43F16" w:rsidRPr="00191DCA">
        <w:rPr>
          <w:rFonts w:eastAsia="Times New Roman"/>
          <w:color w:val="auto"/>
          <w:sz w:val="28"/>
          <w:szCs w:val="28"/>
        </w:rPr>
        <w:t xml:space="preserve"> bền vững</w:t>
      </w:r>
      <w:r w:rsidR="00621659">
        <w:rPr>
          <w:rFonts w:eastAsia="Times New Roman"/>
          <w:color w:val="auto"/>
          <w:sz w:val="28"/>
          <w:szCs w:val="28"/>
        </w:rPr>
        <w:t>;</w:t>
      </w:r>
    </w:p>
    <w:p w14:paraId="552189BC" w14:textId="09190F16" w:rsidR="00377370" w:rsidRPr="00191DCA" w:rsidRDefault="008643F5" w:rsidP="006F2DC5">
      <w:pPr>
        <w:pStyle w:val="Default"/>
        <w:spacing w:before="120"/>
        <w:ind w:firstLine="720"/>
        <w:jc w:val="both"/>
        <w:rPr>
          <w:rFonts w:eastAsia="Times New Roman"/>
          <w:color w:val="auto"/>
          <w:sz w:val="28"/>
          <w:szCs w:val="28"/>
        </w:rPr>
      </w:pPr>
      <w:r w:rsidRPr="00191DCA">
        <w:rPr>
          <w:rFonts w:eastAsia="Times New Roman"/>
          <w:color w:val="auto"/>
          <w:sz w:val="28"/>
          <w:szCs w:val="28"/>
        </w:rPr>
        <w:t xml:space="preserve">Trên cơ sở đề xuất của cơ quan </w:t>
      </w:r>
      <w:r w:rsidR="00A57A96" w:rsidRPr="00191DCA">
        <w:rPr>
          <w:rFonts w:eastAsia="Times New Roman"/>
          <w:color w:val="auto"/>
          <w:sz w:val="28"/>
          <w:szCs w:val="28"/>
        </w:rPr>
        <w:t>BHXH tỉnh</w:t>
      </w:r>
      <w:r w:rsidRPr="00191DCA">
        <w:rPr>
          <w:rFonts w:eastAsia="Times New Roman"/>
          <w:color w:val="auto"/>
          <w:sz w:val="28"/>
          <w:szCs w:val="28"/>
        </w:rPr>
        <w:t>,</w:t>
      </w:r>
      <w:r w:rsidR="00B6153D" w:rsidRPr="00191DCA">
        <w:rPr>
          <w:rFonts w:eastAsia="Times New Roman"/>
          <w:color w:val="auto"/>
          <w:sz w:val="28"/>
          <w:szCs w:val="28"/>
        </w:rPr>
        <w:t xml:space="preserve"> </w:t>
      </w:r>
      <w:r w:rsidR="00865FD4">
        <w:rPr>
          <w:rFonts w:eastAsia="Times New Roman"/>
          <w:color w:val="auto"/>
          <w:sz w:val="28"/>
          <w:szCs w:val="28"/>
        </w:rPr>
        <w:t>Ban chỉ đạo thực hiện chính sách BHXH, BHYT</w:t>
      </w:r>
      <w:r w:rsidRPr="00191DCA">
        <w:rPr>
          <w:rFonts w:eastAsia="Times New Roman"/>
          <w:color w:val="auto"/>
          <w:sz w:val="28"/>
          <w:szCs w:val="28"/>
        </w:rPr>
        <w:t xml:space="preserve"> tỉnh </w:t>
      </w:r>
      <w:r w:rsidR="00B37FD2" w:rsidRPr="00191DCA">
        <w:rPr>
          <w:rFonts w:eastAsia="Times New Roman"/>
          <w:color w:val="auto"/>
          <w:sz w:val="28"/>
          <w:szCs w:val="28"/>
        </w:rPr>
        <w:t xml:space="preserve">đề nghị </w:t>
      </w:r>
      <w:r w:rsidR="00B6153D" w:rsidRPr="00191DCA">
        <w:rPr>
          <w:rFonts w:eastAsia="Times New Roman"/>
          <w:color w:val="auto"/>
          <w:sz w:val="28"/>
          <w:szCs w:val="28"/>
        </w:rPr>
        <w:t xml:space="preserve">các Sở, </w:t>
      </w:r>
      <w:r w:rsidRPr="00191DCA">
        <w:rPr>
          <w:rFonts w:eastAsia="Times New Roman"/>
          <w:color w:val="auto"/>
          <w:sz w:val="28"/>
          <w:szCs w:val="28"/>
        </w:rPr>
        <w:t>ban, ngành, Hội đoàn thể và</w:t>
      </w:r>
      <w:r w:rsidR="00B6153D" w:rsidRPr="00191DCA">
        <w:rPr>
          <w:rFonts w:eastAsia="Times New Roman"/>
          <w:color w:val="auto"/>
          <w:sz w:val="28"/>
          <w:szCs w:val="28"/>
        </w:rPr>
        <w:t xml:space="preserve"> </w:t>
      </w:r>
      <w:r w:rsidR="00B37FD2" w:rsidRPr="00191DCA">
        <w:rPr>
          <w:rFonts w:eastAsia="Times New Roman"/>
          <w:color w:val="auto"/>
          <w:sz w:val="28"/>
          <w:szCs w:val="28"/>
        </w:rPr>
        <w:t xml:space="preserve">UBND các huyện, thành phố </w:t>
      </w:r>
      <w:r w:rsidR="00881519">
        <w:rPr>
          <w:rFonts w:eastAsia="Times New Roman"/>
          <w:color w:val="auto"/>
          <w:sz w:val="28"/>
          <w:szCs w:val="28"/>
        </w:rPr>
        <w:t xml:space="preserve">triển khai </w:t>
      </w:r>
      <w:r w:rsidR="00B37FD2" w:rsidRPr="00191DCA">
        <w:rPr>
          <w:rFonts w:eastAsia="Times New Roman"/>
          <w:color w:val="auto"/>
          <w:sz w:val="28"/>
          <w:szCs w:val="28"/>
        </w:rPr>
        <w:t xml:space="preserve">thực hiện một số nội dung sau: </w:t>
      </w:r>
    </w:p>
    <w:p w14:paraId="29A3C59A" w14:textId="2D1A0A91" w:rsidR="003515F1" w:rsidRPr="00191DCA" w:rsidRDefault="00524CFB" w:rsidP="006F2DC5">
      <w:pPr>
        <w:pStyle w:val="Default"/>
        <w:spacing w:before="120"/>
        <w:ind w:firstLine="720"/>
        <w:jc w:val="both"/>
        <w:rPr>
          <w:rFonts w:eastAsia="Times New Roman"/>
          <w:b/>
          <w:bCs/>
          <w:color w:val="auto"/>
          <w:sz w:val="28"/>
          <w:szCs w:val="28"/>
        </w:rPr>
      </w:pPr>
      <w:r w:rsidRPr="00191DCA">
        <w:rPr>
          <w:rFonts w:eastAsia="Times New Roman"/>
          <w:b/>
          <w:bCs/>
          <w:color w:val="auto"/>
          <w:sz w:val="28"/>
          <w:szCs w:val="28"/>
        </w:rPr>
        <w:t xml:space="preserve">1. </w:t>
      </w:r>
      <w:r w:rsidR="008643F5" w:rsidRPr="00191DCA">
        <w:rPr>
          <w:rFonts w:eastAsia="Times New Roman"/>
          <w:b/>
          <w:bCs/>
          <w:color w:val="auto"/>
          <w:sz w:val="28"/>
          <w:szCs w:val="28"/>
        </w:rPr>
        <w:t xml:space="preserve">Đề nghị </w:t>
      </w:r>
      <w:r w:rsidR="00B6153D" w:rsidRPr="00191DCA">
        <w:rPr>
          <w:rFonts w:eastAsia="Times New Roman"/>
          <w:b/>
          <w:bCs/>
          <w:color w:val="auto"/>
          <w:sz w:val="28"/>
          <w:szCs w:val="28"/>
        </w:rPr>
        <w:t>Hội Liên hiệp Phụ nữ tỉnh</w:t>
      </w:r>
      <w:r w:rsidR="00B85F1F" w:rsidRPr="00191DCA">
        <w:rPr>
          <w:rFonts w:eastAsia="Times New Roman"/>
          <w:b/>
          <w:bCs/>
          <w:color w:val="auto"/>
          <w:sz w:val="28"/>
          <w:szCs w:val="28"/>
        </w:rPr>
        <w:t xml:space="preserve">, </w:t>
      </w:r>
      <w:r w:rsidR="00B6153D" w:rsidRPr="00191DCA">
        <w:rPr>
          <w:rFonts w:eastAsia="Times New Roman"/>
          <w:b/>
          <w:bCs/>
          <w:color w:val="auto"/>
          <w:sz w:val="28"/>
          <w:szCs w:val="28"/>
        </w:rPr>
        <w:t>Hội Nông dân tỉnh,</w:t>
      </w:r>
      <w:r w:rsidR="00B85F1F" w:rsidRPr="00191DCA">
        <w:rPr>
          <w:rFonts w:eastAsia="Times New Roman"/>
          <w:b/>
          <w:bCs/>
          <w:color w:val="auto"/>
          <w:sz w:val="28"/>
          <w:szCs w:val="28"/>
        </w:rPr>
        <w:t xml:space="preserve"> Tỉnh Đoàn</w:t>
      </w:r>
    </w:p>
    <w:p w14:paraId="11F10F84" w14:textId="1F11A6E4" w:rsidR="00397D19" w:rsidRPr="00191DCA" w:rsidRDefault="003515F1" w:rsidP="006F2DC5">
      <w:pPr>
        <w:spacing w:before="120" w:after="0" w:line="240" w:lineRule="auto"/>
        <w:ind w:firstLine="720"/>
        <w:jc w:val="both"/>
        <w:rPr>
          <w:rFonts w:eastAsia="Times New Roman"/>
          <w:szCs w:val="28"/>
        </w:rPr>
      </w:pPr>
      <w:r w:rsidRPr="00191DCA">
        <w:rPr>
          <w:rFonts w:eastAsia="Times New Roman"/>
          <w:szCs w:val="28"/>
        </w:rPr>
        <w:t xml:space="preserve">- </w:t>
      </w:r>
      <w:r w:rsidRPr="00191DCA">
        <w:rPr>
          <w:rFonts w:eastAsia="Times New Roman" w:cs="Times New Roman"/>
          <w:szCs w:val="28"/>
        </w:rPr>
        <w:t>Ký Quy chế phối hợp thực hiện chính sách, pháp luật BHXH, BHYT</w:t>
      </w:r>
      <w:r w:rsidRPr="00191DCA">
        <w:rPr>
          <w:rFonts w:eastAsia="Times New Roman"/>
          <w:szCs w:val="28"/>
        </w:rPr>
        <w:t xml:space="preserve"> với BHXH tỉnh, theo hướng dẫn tại Công văn số 1234/BHXH-TST </w:t>
      </w:r>
      <w:r w:rsidR="008643F5" w:rsidRPr="00191DCA">
        <w:rPr>
          <w:rFonts w:eastAsia="Times New Roman"/>
          <w:szCs w:val="28"/>
        </w:rPr>
        <w:t>ngày 11/5/2022 của BHXH Việt Nam</w:t>
      </w:r>
      <w:r w:rsidR="00DB5D3E" w:rsidRPr="00191DCA">
        <w:rPr>
          <w:rFonts w:eastAsia="Times New Roman"/>
          <w:szCs w:val="28"/>
        </w:rPr>
        <w:t xml:space="preserve"> và tổ chức thực hiện </w:t>
      </w:r>
      <w:r w:rsidR="008643F5" w:rsidRPr="00191DCA">
        <w:rPr>
          <w:rFonts w:eastAsia="Times New Roman"/>
          <w:szCs w:val="28"/>
        </w:rPr>
        <w:t xml:space="preserve">Quy chế </w:t>
      </w:r>
      <w:r w:rsidR="00DB5D3E" w:rsidRPr="00191DCA">
        <w:rPr>
          <w:rFonts w:eastAsia="Times New Roman"/>
          <w:szCs w:val="28"/>
        </w:rPr>
        <w:t>kịp thời, đảm bảo hiệu lực, hiệu quả</w:t>
      </w:r>
      <w:r w:rsidR="00397D19" w:rsidRPr="00191DCA">
        <w:rPr>
          <w:rFonts w:eastAsia="Times New Roman"/>
          <w:szCs w:val="28"/>
        </w:rPr>
        <w:t>;</w:t>
      </w:r>
    </w:p>
    <w:p w14:paraId="18E2E77D" w14:textId="6F5FF7A7" w:rsidR="00397D19" w:rsidRPr="00191DCA" w:rsidRDefault="00397D19" w:rsidP="006F2DC5">
      <w:pPr>
        <w:pStyle w:val="Default"/>
        <w:spacing w:before="120"/>
        <w:ind w:firstLine="697"/>
        <w:jc w:val="both"/>
        <w:rPr>
          <w:rFonts w:eastAsia="Times New Roman"/>
          <w:color w:val="auto"/>
          <w:sz w:val="28"/>
          <w:szCs w:val="28"/>
        </w:rPr>
      </w:pPr>
      <w:r w:rsidRPr="00191DCA">
        <w:rPr>
          <w:rFonts w:eastAsia="Times New Roman"/>
          <w:sz w:val="28"/>
          <w:szCs w:val="28"/>
        </w:rPr>
        <w:t xml:space="preserve">- Phối hợp với BHXH tỉnh </w:t>
      </w:r>
      <w:r w:rsidRPr="00191DCA">
        <w:rPr>
          <w:sz w:val="28"/>
          <w:szCs w:val="28"/>
          <w:lang w:val="en-GB"/>
        </w:rPr>
        <w:t>xây dựng Chương trình, Kế hoạch</w:t>
      </w:r>
      <w:r w:rsidR="00DB5D3E" w:rsidRPr="00191DCA">
        <w:rPr>
          <w:sz w:val="28"/>
          <w:szCs w:val="28"/>
          <w:lang w:val="en-GB"/>
        </w:rPr>
        <w:t>, chỉ tiêu phát triển hội viên, đoàn viên tham gia BHXH, BHYT</w:t>
      </w:r>
      <w:r w:rsidRPr="00191DCA">
        <w:rPr>
          <w:sz w:val="28"/>
          <w:szCs w:val="28"/>
          <w:lang w:val="en-GB"/>
        </w:rPr>
        <w:t xml:space="preserve"> h</w:t>
      </w:r>
      <w:r w:rsidR="00524CFB" w:rsidRPr="00191DCA">
        <w:rPr>
          <w:sz w:val="28"/>
          <w:szCs w:val="28"/>
          <w:lang w:val="en-GB"/>
        </w:rPr>
        <w:t>ằng</w:t>
      </w:r>
      <w:r w:rsidRPr="00191DCA">
        <w:rPr>
          <w:sz w:val="28"/>
          <w:szCs w:val="28"/>
          <w:lang w:val="en-GB"/>
        </w:rPr>
        <w:t xml:space="preserve"> năm phù hợp với tình hình thực tiễn để thực hiện; </w:t>
      </w:r>
      <w:r w:rsidRPr="00191DCA">
        <w:rPr>
          <w:sz w:val="28"/>
          <w:szCs w:val="28"/>
        </w:rPr>
        <w:t>đưa ra các giải pháp nhằm</w:t>
      </w:r>
      <w:r w:rsidRPr="00191DCA">
        <w:t xml:space="preserve"> </w:t>
      </w:r>
      <w:r w:rsidRPr="00191DCA">
        <w:rPr>
          <w:sz w:val="28"/>
          <w:szCs w:val="28"/>
          <w:lang w:val="vi-VN"/>
        </w:rPr>
        <w:t xml:space="preserve">nâng cao </w:t>
      </w:r>
      <w:r w:rsidRPr="00191DCA">
        <w:rPr>
          <w:sz w:val="28"/>
          <w:szCs w:val="28"/>
        </w:rPr>
        <w:t xml:space="preserve">chất lượng, </w:t>
      </w:r>
      <w:r w:rsidRPr="00191DCA">
        <w:rPr>
          <w:sz w:val="28"/>
          <w:szCs w:val="28"/>
          <w:lang w:val="vi-VN"/>
        </w:rPr>
        <w:lastRenderedPageBreak/>
        <w:t xml:space="preserve">hiệu quả công tác </w:t>
      </w:r>
      <w:r w:rsidRPr="00191DCA">
        <w:rPr>
          <w:sz w:val="28"/>
          <w:szCs w:val="28"/>
        </w:rPr>
        <w:t>truyền thông chính sách BHXH, BHYT</w:t>
      </w:r>
      <w:r w:rsidR="006F6B4B" w:rsidRPr="00191DCA">
        <w:rPr>
          <w:sz w:val="28"/>
          <w:szCs w:val="28"/>
        </w:rPr>
        <w:t xml:space="preserve"> và vận động hội viên, đoàn viên</w:t>
      </w:r>
      <w:r w:rsidRPr="00191DCA">
        <w:rPr>
          <w:sz w:val="28"/>
          <w:szCs w:val="28"/>
        </w:rPr>
        <w:t xml:space="preserve"> tham gia BHXH, BHYT</w:t>
      </w:r>
      <w:r w:rsidR="00524CFB" w:rsidRPr="00191DCA">
        <w:rPr>
          <w:sz w:val="28"/>
          <w:szCs w:val="28"/>
        </w:rPr>
        <w:t xml:space="preserve"> đảm bảo hoàn thành chỉ tiêu đề ra</w:t>
      </w:r>
      <w:r w:rsidR="00DB5D3E" w:rsidRPr="00191DCA">
        <w:rPr>
          <w:sz w:val="28"/>
          <w:szCs w:val="28"/>
        </w:rPr>
        <w:t>.</w:t>
      </w:r>
    </w:p>
    <w:p w14:paraId="4F6650C2" w14:textId="6706DA89" w:rsidR="00397D19" w:rsidRPr="00191DCA" w:rsidRDefault="00D71D8B" w:rsidP="006F2DC5">
      <w:pPr>
        <w:spacing w:before="120" w:after="0" w:line="240" w:lineRule="auto"/>
        <w:ind w:firstLine="720"/>
        <w:jc w:val="both"/>
        <w:rPr>
          <w:rFonts w:eastAsia="Times New Roman"/>
          <w:b/>
          <w:bCs/>
          <w:szCs w:val="28"/>
        </w:rPr>
      </w:pPr>
      <w:r w:rsidRPr="00191DCA">
        <w:rPr>
          <w:rFonts w:eastAsia="Times New Roman"/>
          <w:b/>
          <w:bCs/>
          <w:szCs w:val="28"/>
        </w:rPr>
        <w:t>2. Uỷ ban nhân dân các huyện, thành phố</w:t>
      </w:r>
    </w:p>
    <w:p w14:paraId="53ED6FE4" w14:textId="42C7771A" w:rsidR="00D71D8B" w:rsidRPr="00191DCA" w:rsidRDefault="00D71D8B" w:rsidP="006F2DC5">
      <w:pPr>
        <w:spacing w:before="120" w:after="0" w:line="240" w:lineRule="auto"/>
        <w:ind w:firstLine="720"/>
        <w:jc w:val="both"/>
        <w:rPr>
          <w:rFonts w:eastAsia="Times New Roman"/>
          <w:i/>
          <w:iCs/>
          <w:szCs w:val="28"/>
        </w:rPr>
      </w:pPr>
      <w:r w:rsidRPr="00191DCA">
        <w:rPr>
          <w:rFonts w:eastAsia="Times New Roman" w:cs="Times New Roman"/>
          <w:i/>
          <w:iCs/>
          <w:szCs w:val="28"/>
        </w:rPr>
        <w:t xml:space="preserve">- </w:t>
      </w:r>
      <w:r w:rsidR="002E3AE3" w:rsidRPr="00191DCA">
        <w:rPr>
          <w:rFonts w:eastAsia="Times New Roman"/>
          <w:i/>
          <w:iCs/>
          <w:szCs w:val="28"/>
        </w:rPr>
        <w:t xml:space="preserve"> Chỉ đạo </w:t>
      </w:r>
      <w:r w:rsidR="00771680" w:rsidRPr="00191DCA">
        <w:rPr>
          <w:rFonts w:eastAsia="Times New Roman"/>
          <w:i/>
          <w:iCs/>
          <w:szCs w:val="28"/>
        </w:rPr>
        <w:t>các Hội đoàn thể</w:t>
      </w:r>
      <w:r w:rsidR="007474B5" w:rsidRPr="00191DCA">
        <w:rPr>
          <w:rFonts w:eastAsia="Times New Roman"/>
          <w:i/>
          <w:iCs/>
          <w:szCs w:val="28"/>
        </w:rPr>
        <w:t xml:space="preserve">, </w:t>
      </w:r>
      <w:r w:rsidR="00FB16BD" w:rsidRPr="00191DCA">
        <w:rPr>
          <w:rFonts w:eastAsia="Times New Roman"/>
          <w:i/>
          <w:iCs/>
          <w:szCs w:val="28"/>
        </w:rPr>
        <w:t>Ủy ban nhân dân</w:t>
      </w:r>
      <w:r w:rsidR="007474B5" w:rsidRPr="00191DCA">
        <w:rPr>
          <w:rFonts w:eastAsia="Times New Roman"/>
          <w:i/>
          <w:iCs/>
          <w:szCs w:val="28"/>
        </w:rPr>
        <w:t xml:space="preserve"> </w:t>
      </w:r>
      <w:r w:rsidR="000E70FF" w:rsidRPr="00191DCA">
        <w:rPr>
          <w:rFonts w:eastAsia="Times New Roman"/>
          <w:i/>
          <w:iCs/>
          <w:szCs w:val="28"/>
        </w:rPr>
        <w:t>cấp xã</w:t>
      </w:r>
      <w:r w:rsidRPr="00191DCA">
        <w:rPr>
          <w:rFonts w:eastAsia="Times New Roman"/>
          <w:b/>
          <w:bCs/>
          <w:i/>
          <w:iCs/>
          <w:szCs w:val="28"/>
        </w:rPr>
        <w:t xml:space="preserve">: </w:t>
      </w:r>
    </w:p>
    <w:p w14:paraId="75EA993C" w14:textId="3728F640" w:rsidR="00D71D8B" w:rsidRPr="00191DCA" w:rsidRDefault="00226B07" w:rsidP="006F2DC5">
      <w:pPr>
        <w:spacing w:before="120" w:after="0" w:line="240" w:lineRule="auto"/>
        <w:ind w:firstLine="720"/>
        <w:jc w:val="both"/>
        <w:rPr>
          <w:rFonts w:eastAsia="Times New Roman"/>
          <w:szCs w:val="28"/>
        </w:rPr>
      </w:pPr>
      <w:r w:rsidRPr="00191DCA">
        <w:rPr>
          <w:rFonts w:eastAsia="Times New Roman" w:cs="Times New Roman"/>
          <w:szCs w:val="28"/>
        </w:rPr>
        <w:t xml:space="preserve">+ </w:t>
      </w:r>
      <w:r w:rsidR="00D71D8B" w:rsidRPr="00191DCA">
        <w:rPr>
          <w:rFonts w:eastAsia="Times New Roman" w:cs="Times New Roman"/>
          <w:szCs w:val="28"/>
        </w:rPr>
        <w:t xml:space="preserve">Ký Quy chế phối hợp thực hiện chính sách, pháp luật BHXH, BHYT </w:t>
      </w:r>
      <w:r w:rsidR="00D71D8B" w:rsidRPr="00191DCA">
        <w:rPr>
          <w:rFonts w:eastAsia="Times New Roman"/>
          <w:szCs w:val="28"/>
        </w:rPr>
        <w:t>với BHXH tỉnh,</w:t>
      </w:r>
      <w:r w:rsidR="00142D7D" w:rsidRPr="00191DCA">
        <w:rPr>
          <w:rFonts w:eastAsia="Times New Roman"/>
          <w:szCs w:val="28"/>
        </w:rPr>
        <w:t xml:space="preserve"> huyện</w:t>
      </w:r>
      <w:r w:rsidR="00D71D8B" w:rsidRPr="00191DCA">
        <w:rPr>
          <w:rFonts w:eastAsia="Times New Roman"/>
          <w:szCs w:val="28"/>
        </w:rPr>
        <w:t xml:space="preserve"> theo hướng dẫn tại Công văn số 1234/BHXH-TST nêu trên và tổ chức thực hiện kịp thời, đảm bảo hiệu lực, hiệu quả;</w:t>
      </w:r>
    </w:p>
    <w:p w14:paraId="53FDBB5B" w14:textId="6FD87B72" w:rsidR="00524CFB" w:rsidRPr="00191DCA" w:rsidRDefault="00226B07" w:rsidP="006F2DC5">
      <w:pPr>
        <w:pStyle w:val="Default"/>
        <w:spacing w:before="120"/>
        <w:ind w:firstLine="720"/>
        <w:jc w:val="both"/>
        <w:rPr>
          <w:rFonts w:eastAsia="Times New Roman"/>
          <w:color w:val="auto"/>
          <w:sz w:val="28"/>
          <w:szCs w:val="28"/>
        </w:rPr>
      </w:pPr>
      <w:r w:rsidRPr="00191DCA">
        <w:rPr>
          <w:rFonts w:eastAsia="Times New Roman"/>
          <w:color w:val="auto"/>
          <w:sz w:val="28"/>
          <w:szCs w:val="28"/>
        </w:rPr>
        <w:t xml:space="preserve">+ </w:t>
      </w:r>
      <w:r w:rsidR="00524CFB" w:rsidRPr="00191DCA">
        <w:rPr>
          <w:rFonts w:eastAsia="Times New Roman"/>
          <w:color w:val="auto"/>
          <w:sz w:val="28"/>
          <w:szCs w:val="28"/>
        </w:rPr>
        <w:t xml:space="preserve"> Phối hợp với cơ quan BHXH, cơ quan báo, đài thực hiện tốt công tác tuyên truyền để nâng cao nhận thức về ý nghĩa, tầm quan trọng</w:t>
      </w:r>
      <w:r w:rsidR="00343356" w:rsidRPr="00191DCA">
        <w:rPr>
          <w:rFonts w:eastAsia="Times New Roman"/>
          <w:color w:val="auto"/>
          <w:sz w:val="28"/>
          <w:szCs w:val="28"/>
        </w:rPr>
        <w:t xml:space="preserve"> và </w:t>
      </w:r>
      <w:r w:rsidR="00BB207A" w:rsidRPr="00191DCA">
        <w:rPr>
          <w:rFonts w:eastAsia="Times New Roman"/>
          <w:color w:val="auto"/>
          <w:sz w:val="28"/>
          <w:szCs w:val="28"/>
        </w:rPr>
        <w:t>lợi ích thiết thực</w:t>
      </w:r>
      <w:r w:rsidR="00524CFB" w:rsidRPr="00191DCA">
        <w:rPr>
          <w:rFonts w:eastAsia="Times New Roman"/>
          <w:color w:val="auto"/>
          <w:sz w:val="28"/>
          <w:szCs w:val="28"/>
        </w:rPr>
        <w:t xml:space="preserve"> của</w:t>
      </w:r>
      <w:r w:rsidR="00343356" w:rsidRPr="00191DCA">
        <w:rPr>
          <w:rFonts w:eastAsia="Times New Roman"/>
          <w:color w:val="auto"/>
          <w:sz w:val="28"/>
          <w:szCs w:val="28"/>
        </w:rPr>
        <w:t xml:space="preserve"> việc tham gia</w:t>
      </w:r>
      <w:r w:rsidR="00524CFB" w:rsidRPr="00191DCA">
        <w:rPr>
          <w:rFonts w:eastAsia="Times New Roman"/>
          <w:color w:val="auto"/>
          <w:sz w:val="28"/>
          <w:szCs w:val="28"/>
        </w:rPr>
        <w:t xml:space="preserve"> BHXH, BHYT đối với</w:t>
      </w:r>
      <w:r w:rsidR="00343356" w:rsidRPr="00191DCA">
        <w:rPr>
          <w:rFonts w:eastAsia="Times New Roman"/>
          <w:color w:val="auto"/>
          <w:sz w:val="28"/>
          <w:szCs w:val="28"/>
        </w:rPr>
        <w:t xml:space="preserve"> nhân</w:t>
      </w:r>
      <w:r w:rsidR="00524CFB" w:rsidRPr="00191DCA">
        <w:rPr>
          <w:rFonts w:eastAsia="Times New Roman"/>
          <w:color w:val="auto"/>
          <w:sz w:val="28"/>
          <w:szCs w:val="28"/>
        </w:rPr>
        <w:t xml:space="preserve"> dân</w:t>
      </w:r>
      <w:r w:rsidR="00343356" w:rsidRPr="00191DCA">
        <w:rPr>
          <w:rFonts w:eastAsia="Times New Roman"/>
          <w:color w:val="auto"/>
          <w:sz w:val="28"/>
          <w:szCs w:val="28"/>
        </w:rPr>
        <w:t xml:space="preserve"> và người lao động</w:t>
      </w:r>
      <w:r w:rsidR="00524CFB" w:rsidRPr="00191DCA">
        <w:rPr>
          <w:rFonts w:eastAsia="Times New Roman"/>
          <w:color w:val="auto"/>
          <w:sz w:val="28"/>
          <w:szCs w:val="28"/>
        </w:rPr>
        <w:t>;</w:t>
      </w:r>
    </w:p>
    <w:p w14:paraId="013B1E15" w14:textId="6CA0C331" w:rsidR="00524CFB" w:rsidRPr="00191DCA" w:rsidRDefault="00226B07" w:rsidP="006F2DC5">
      <w:pPr>
        <w:spacing w:before="120" w:after="0" w:line="240" w:lineRule="auto"/>
        <w:ind w:firstLine="720"/>
        <w:jc w:val="both"/>
        <w:rPr>
          <w:shd w:val="clear" w:color="auto" w:fill="FFFFFF"/>
          <w:lang w:val="en-GB"/>
        </w:rPr>
      </w:pPr>
      <w:r w:rsidRPr="00191DCA">
        <w:rPr>
          <w:rFonts w:eastAsia="Times New Roman"/>
          <w:bCs/>
          <w:szCs w:val="28"/>
        </w:rPr>
        <w:t>+</w:t>
      </w:r>
      <w:r w:rsidRPr="00191DCA">
        <w:rPr>
          <w:rFonts w:eastAsia="Times New Roman"/>
          <w:b/>
          <w:bCs/>
          <w:szCs w:val="28"/>
        </w:rPr>
        <w:t xml:space="preserve"> </w:t>
      </w:r>
      <w:r w:rsidRPr="00191DCA">
        <w:t xml:space="preserve">Xây dựng </w:t>
      </w:r>
      <w:r w:rsidR="00562EE2" w:rsidRPr="00191DCA">
        <w:t>K</w:t>
      </w:r>
      <w:r w:rsidRPr="00191DCA">
        <w:t>ế hoạch, nội dung, chương trình thông tin</w:t>
      </w:r>
      <w:r w:rsidR="00F57B82" w:rsidRPr="00191DCA">
        <w:t>;</w:t>
      </w:r>
      <w:r w:rsidRPr="00191DCA">
        <w:t xml:space="preserve"> vận dụng linh hoạt phù hợp với đặc thù của địa phương và các nhóm đối tượng tiềm năng chưa tham gia BHXH</w:t>
      </w:r>
      <w:r w:rsidR="00BB207A" w:rsidRPr="00191DCA">
        <w:t xml:space="preserve"> tự nguyện</w:t>
      </w:r>
      <w:r w:rsidRPr="00191DCA">
        <w:t xml:space="preserve">, BHYT thông qua các phương tiện truyền thông của xã, các hội nghị hoặc </w:t>
      </w:r>
      <w:r w:rsidR="00191DCA">
        <w:t xml:space="preserve">gặp gỡ truyền thông </w:t>
      </w:r>
      <w:r w:rsidRPr="00191DCA">
        <w:t>trực tiếp để phát triển người tham gia</w:t>
      </w:r>
      <w:r w:rsidRPr="00191DCA">
        <w:rPr>
          <w:shd w:val="clear" w:color="auto" w:fill="FFFFFF"/>
          <w:lang w:val="en-GB"/>
        </w:rPr>
        <w:t xml:space="preserve">. </w:t>
      </w:r>
      <w:r w:rsidR="00BB207A" w:rsidRPr="00191DCA">
        <w:rPr>
          <w:shd w:val="clear" w:color="auto" w:fill="FFFFFF"/>
          <w:lang w:val="en-GB"/>
        </w:rPr>
        <w:t xml:space="preserve">Tập </w:t>
      </w:r>
      <w:r w:rsidR="0029221B" w:rsidRPr="00191DCA">
        <w:rPr>
          <w:shd w:val="clear" w:color="auto" w:fill="FFFFFF"/>
          <w:lang w:val="en-GB"/>
        </w:rPr>
        <w:t>tr</w:t>
      </w:r>
      <w:r w:rsidR="00BB207A" w:rsidRPr="00191DCA">
        <w:rPr>
          <w:shd w:val="clear" w:color="auto" w:fill="FFFFFF"/>
          <w:lang w:val="en-GB"/>
        </w:rPr>
        <w:t>ung, đẩy mạnh</w:t>
      </w:r>
      <w:r w:rsidR="00AE00BF" w:rsidRPr="00191DCA">
        <w:rPr>
          <w:shd w:val="clear" w:color="auto" w:fill="FFFFFF"/>
          <w:lang w:val="en-GB"/>
        </w:rPr>
        <w:t xml:space="preserve"> công tác</w:t>
      </w:r>
      <w:r w:rsidR="00BB207A" w:rsidRPr="00191DCA">
        <w:rPr>
          <w:shd w:val="clear" w:color="auto" w:fill="FFFFFF"/>
          <w:lang w:val="en-GB"/>
        </w:rPr>
        <w:t xml:space="preserve"> tuyên truyền vận động phát triển người tham gia BHXH tự nguyện, </w:t>
      </w:r>
      <w:r w:rsidR="00AE00BF" w:rsidRPr="00191DCA">
        <w:rPr>
          <w:shd w:val="clear" w:color="auto" w:fill="FFFFFF"/>
          <w:lang w:val="en-GB"/>
        </w:rPr>
        <w:t>người</w:t>
      </w:r>
      <w:r w:rsidR="00743393" w:rsidRPr="00191DCA">
        <w:rPr>
          <w:shd w:val="clear" w:color="auto" w:fill="FFFFFF"/>
          <w:lang w:val="en-GB"/>
        </w:rPr>
        <w:t xml:space="preserve"> tham gia BHYT là</w:t>
      </w:r>
      <w:r w:rsidR="00AE00BF" w:rsidRPr="00191DCA">
        <w:rPr>
          <w:shd w:val="clear" w:color="auto" w:fill="FFFFFF"/>
          <w:lang w:val="en-GB"/>
        </w:rPr>
        <w:t xml:space="preserve"> đồng bào dân tộc thiểu số không thuộc đối tượng được cấp thẻ BHYT theo </w:t>
      </w:r>
      <w:r w:rsidR="00743393" w:rsidRPr="00191DCA">
        <w:t>Quyết định số 861/QĐ-</w:t>
      </w:r>
      <w:r w:rsidR="00743393" w:rsidRPr="00191DCA">
        <w:rPr>
          <w:bCs/>
          <w:shd w:val="clear" w:color="auto" w:fill="FFFFFF"/>
        </w:rPr>
        <w:t>TTg ngày 04/6/2021 của Thủ tướng Chính phủ để đảm bảo quyền lợi người dân và hoàn thành</w:t>
      </w:r>
      <w:r w:rsidR="00FD641B" w:rsidRPr="00191DCA">
        <w:rPr>
          <w:bCs/>
          <w:shd w:val="clear" w:color="auto" w:fill="FFFFFF"/>
        </w:rPr>
        <w:t xml:space="preserve"> chỉ tiêu kế hoạch được giao</w:t>
      </w:r>
      <w:r w:rsidR="008D2EAC" w:rsidRPr="00191DCA">
        <w:rPr>
          <w:bCs/>
          <w:shd w:val="clear" w:color="auto" w:fill="FFFFFF"/>
        </w:rPr>
        <w:t>.</w:t>
      </w:r>
    </w:p>
    <w:p w14:paraId="664C0B22" w14:textId="1FF03644" w:rsidR="00771680" w:rsidRPr="00191DCA" w:rsidRDefault="008D2EAC" w:rsidP="006F2DC5">
      <w:pPr>
        <w:pStyle w:val="Default"/>
        <w:spacing w:before="120"/>
        <w:ind w:firstLine="720"/>
        <w:jc w:val="both"/>
        <w:rPr>
          <w:rFonts w:eastAsia="Times New Roman"/>
          <w:i/>
          <w:iCs/>
          <w:color w:val="auto"/>
          <w:sz w:val="28"/>
          <w:szCs w:val="28"/>
        </w:rPr>
      </w:pPr>
      <w:r w:rsidRPr="00191DCA">
        <w:rPr>
          <w:rFonts w:eastAsia="Times New Roman"/>
          <w:i/>
          <w:iCs/>
          <w:color w:val="auto"/>
          <w:sz w:val="28"/>
          <w:szCs w:val="28"/>
        </w:rPr>
        <w:t>-</w:t>
      </w:r>
      <w:r w:rsidR="003E3564" w:rsidRPr="00191DCA">
        <w:rPr>
          <w:rFonts w:eastAsia="Times New Roman"/>
          <w:i/>
          <w:iCs/>
          <w:color w:val="auto"/>
          <w:sz w:val="28"/>
          <w:szCs w:val="28"/>
        </w:rPr>
        <w:t xml:space="preserve"> Chỉ đạo các </w:t>
      </w:r>
      <w:r w:rsidR="00FB16BD" w:rsidRPr="00191DCA">
        <w:rPr>
          <w:rFonts w:eastAsia="Times New Roman"/>
          <w:i/>
          <w:iCs/>
          <w:color w:val="auto"/>
          <w:sz w:val="28"/>
          <w:szCs w:val="28"/>
        </w:rPr>
        <w:t>Ủy ban nhân dân</w:t>
      </w:r>
      <w:r w:rsidR="003E3564" w:rsidRPr="00191DCA">
        <w:rPr>
          <w:rFonts w:eastAsia="Times New Roman"/>
          <w:i/>
          <w:iCs/>
          <w:color w:val="auto"/>
          <w:sz w:val="28"/>
          <w:szCs w:val="28"/>
        </w:rPr>
        <w:t xml:space="preserve"> </w:t>
      </w:r>
      <w:r w:rsidR="000E70FF" w:rsidRPr="00191DCA">
        <w:rPr>
          <w:rFonts w:eastAsia="Times New Roman"/>
          <w:i/>
          <w:iCs/>
          <w:color w:val="auto"/>
          <w:sz w:val="28"/>
          <w:szCs w:val="28"/>
        </w:rPr>
        <w:t>cấp xã</w:t>
      </w:r>
      <w:r w:rsidRPr="00191DCA">
        <w:rPr>
          <w:rFonts w:eastAsia="Times New Roman"/>
          <w:i/>
          <w:iCs/>
          <w:color w:val="auto"/>
          <w:sz w:val="28"/>
          <w:szCs w:val="28"/>
        </w:rPr>
        <w:t>:</w:t>
      </w:r>
    </w:p>
    <w:p w14:paraId="4AE60EB7" w14:textId="491A3FDA" w:rsidR="00EE2BD3" w:rsidRPr="00191DCA" w:rsidRDefault="00743BED" w:rsidP="006F2DC5">
      <w:pPr>
        <w:pStyle w:val="Default"/>
        <w:spacing w:before="120"/>
        <w:ind w:firstLine="720"/>
        <w:jc w:val="both"/>
        <w:rPr>
          <w:rFonts w:eastAsia="Times New Roman"/>
          <w:color w:val="auto"/>
          <w:sz w:val="28"/>
          <w:szCs w:val="28"/>
        </w:rPr>
      </w:pPr>
      <w:r w:rsidRPr="00191DCA">
        <w:rPr>
          <w:rFonts w:eastAsia="Times New Roman"/>
          <w:color w:val="auto"/>
          <w:sz w:val="28"/>
          <w:szCs w:val="28"/>
        </w:rPr>
        <w:t>+</w:t>
      </w:r>
      <w:r w:rsidR="00771680" w:rsidRPr="00191DCA">
        <w:rPr>
          <w:rFonts w:eastAsia="Times New Roman"/>
          <w:color w:val="auto"/>
          <w:sz w:val="28"/>
          <w:szCs w:val="28"/>
        </w:rPr>
        <w:t xml:space="preserve"> </w:t>
      </w:r>
      <w:r w:rsidR="00605441" w:rsidRPr="00191DCA">
        <w:rPr>
          <w:rFonts w:eastAsia="Times New Roman"/>
          <w:color w:val="auto"/>
          <w:sz w:val="28"/>
          <w:szCs w:val="28"/>
        </w:rPr>
        <w:t>Thực hiện</w:t>
      </w:r>
      <w:r w:rsidR="005836A1" w:rsidRPr="00191DCA">
        <w:rPr>
          <w:rFonts w:eastAsia="Times New Roman"/>
          <w:color w:val="auto"/>
          <w:sz w:val="28"/>
          <w:szCs w:val="28"/>
        </w:rPr>
        <w:t xml:space="preserve"> </w:t>
      </w:r>
      <w:r w:rsidR="00EE2BD3" w:rsidRPr="00191DCA">
        <w:rPr>
          <w:rFonts w:eastAsia="Times New Roman"/>
          <w:color w:val="auto"/>
          <w:sz w:val="28"/>
          <w:szCs w:val="28"/>
        </w:rPr>
        <w:t xml:space="preserve">chấm dứt và </w:t>
      </w:r>
      <w:r w:rsidR="005836A1" w:rsidRPr="00191DCA">
        <w:rPr>
          <w:rFonts w:eastAsia="Times New Roman"/>
          <w:color w:val="auto"/>
          <w:sz w:val="28"/>
          <w:szCs w:val="28"/>
        </w:rPr>
        <w:t xml:space="preserve">thanh lý </w:t>
      </w:r>
      <w:r w:rsidR="00A81E18" w:rsidRPr="00191DCA">
        <w:rPr>
          <w:rFonts w:eastAsia="Times New Roman"/>
          <w:color w:val="auto"/>
          <w:sz w:val="28"/>
          <w:szCs w:val="28"/>
        </w:rPr>
        <w:t>H</w:t>
      </w:r>
      <w:r w:rsidR="005836A1" w:rsidRPr="00191DCA">
        <w:rPr>
          <w:rFonts w:eastAsia="Times New Roman"/>
          <w:color w:val="auto"/>
          <w:sz w:val="28"/>
          <w:szCs w:val="28"/>
        </w:rPr>
        <w:t xml:space="preserve">ợp đồng đại lý thu BHXH, BHYT </w:t>
      </w:r>
      <w:r w:rsidR="005836A1" w:rsidRPr="00191DCA">
        <w:rPr>
          <w:sz w:val="28"/>
          <w:szCs w:val="28"/>
        </w:rPr>
        <w:t>đã ký</w:t>
      </w:r>
      <w:r w:rsidR="000E70FF" w:rsidRPr="00191DCA">
        <w:rPr>
          <w:sz w:val="28"/>
          <w:szCs w:val="28"/>
        </w:rPr>
        <w:t xml:space="preserve"> giữa cơ quan BHXH với UBND cấp xã, Hội đoàn thể cấp xã</w:t>
      </w:r>
      <w:r w:rsidR="00EE2BD3" w:rsidRPr="00191DCA">
        <w:rPr>
          <w:sz w:val="28"/>
          <w:szCs w:val="28"/>
        </w:rPr>
        <w:t xml:space="preserve"> </w:t>
      </w:r>
      <w:r w:rsidR="005836A1" w:rsidRPr="00191DCA">
        <w:rPr>
          <w:sz w:val="28"/>
          <w:szCs w:val="28"/>
        </w:rPr>
        <w:t xml:space="preserve">theo </w:t>
      </w:r>
      <w:r w:rsidR="00EE2BD3" w:rsidRPr="00191DCA">
        <w:rPr>
          <w:sz w:val="28"/>
          <w:szCs w:val="28"/>
        </w:rPr>
        <w:t xml:space="preserve">quy định tại </w:t>
      </w:r>
      <w:r w:rsidR="00EE2BD3" w:rsidRPr="00191DCA">
        <w:rPr>
          <w:rFonts w:eastAsia="Times New Roman"/>
          <w:color w:val="auto"/>
          <w:sz w:val="28"/>
          <w:szCs w:val="28"/>
        </w:rPr>
        <w:t>khoản 1 Điều 18 Quy chế Quản lý hoạt động của tổ chức dịch vụ thu BHXH, BHYT kèm theo Quyết định số 1155/QĐ-BHXH nêu trên</w:t>
      </w:r>
      <w:r w:rsidR="00292403" w:rsidRPr="00191DCA">
        <w:rPr>
          <w:rFonts w:eastAsia="Times New Roman"/>
          <w:color w:val="auto"/>
          <w:sz w:val="28"/>
          <w:szCs w:val="28"/>
        </w:rPr>
        <w:t>;</w:t>
      </w:r>
    </w:p>
    <w:p w14:paraId="2479C2A8" w14:textId="45F046E0" w:rsidR="00156959" w:rsidRPr="00191DCA" w:rsidRDefault="00292403" w:rsidP="006F2DC5">
      <w:pPr>
        <w:pStyle w:val="Default"/>
        <w:spacing w:before="120"/>
        <w:ind w:firstLine="720"/>
        <w:jc w:val="both"/>
        <w:rPr>
          <w:sz w:val="28"/>
          <w:szCs w:val="28"/>
        </w:rPr>
      </w:pPr>
      <w:r w:rsidRPr="00191DCA">
        <w:rPr>
          <w:sz w:val="28"/>
          <w:szCs w:val="28"/>
        </w:rPr>
        <w:t>+</w:t>
      </w:r>
      <w:r w:rsidR="004903B6" w:rsidRPr="00191DCA">
        <w:rPr>
          <w:sz w:val="28"/>
          <w:szCs w:val="28"/>
        </w:rPr>
        <w:t xml:space="preserve"> </w:t>
      </w:r>
      <w:r w:rsidR="00EE2BD3" w:rsidRPr="00191DCA">
        <w:rPr>
          <w:sz w:val="28"/>
          <w:szCs w:val="28"/>
        </w:rPr>
        <w:t>H</w:t>
      </w:r>
      <w:r w:rsidR="004903B6" w:rsidRPr="00191DCA">
        <w:rPr>
          <w:sz w:val="28"/>
          <w:szCs w:val="28"/>
        </w:rPr>
        <w:t>ướng dẫn</w:t>
      </w:r>
      <w:r w:rsidR="00EE2BD3" w:rsidRPr="00191DCA">
        <w:rPr>
          <w:sz w:val="28"/>
          <w:szCs w:val="28"/>
        </w:rPr>
        <w:t>, giới thiệu</w:t>
      </w:r>
      <w:r w:rsidR="004903B6" w:rsidRPr="00191DCA">
        <w:rPr>
          <w:sz w:val="28"/>
          <w:szCs w:val="28"/>
        </w:rPr>
        <w:t xml:space="preserve"> </w:t>
      </w:r>
      <w:r w:rsidR="00255A4A" w:rsidRPr="00191DCA">
        <w:rPr>
          <w:sz w:val="28"/>
          <w:szCs w:val="28"/>
        </w:rPr>
        <w:t xml:space="preserve">các </w:t>
      </w:r>
      <w:r w:rsidR="004903B6" w:rsidRPr="00191DCA">
        <w:rPr>
          <w:sz w:val="28"/>
          <w:szCs w:val="28"/>
        </w:rPr>
        <w:t>nhân viên đại lý thu</w:t>
      </w:r>
      <w:r w:rsidR="00662112" w:rsidRPr="00191DCA">
        <w:rPr>
          <w:sz w:val="28"/>
          <w:szCs w:val="28"/>
        </w:rPr>
        <w:t xml:space="preserve"> </w:t>
      </w:r>
      <w:r w:rsidR="00255A4A" w:rsidRPr="00191DCA">
        <w:rPr>
          <w:sz w:val="28"/>
          <w:szCs w:val="28"/>
        </w:rPr>
        <w:t xml:space="preserve">tại các </w:t>
      </w:r>
      <w:r w:rsidR="00255A4A" w:rsidRPr="00191DCA">
        <w:rPr>
          <w:rFonts w:eastAsia="Times New Roman"/>
          <w:color w:val="auto"/>
          <w:sz w:val="28"/>
          <w:szCs w:val="28"/>
        </w:rPr>
        <w:t xml:space="preserve">đại lý thu BHXH, BHYT </w:t>
      </w:r>
      <w:r w:rsidR="00255A4A" w:rsidRPr="00191DCA">
        <w:rPr>
          <w:sz w:val="28"/>
          <w:szCs w:val="28"/>
        </w:rPr>
        <w:t xml:space="preserve">đã chấm dứt và thanh lý </w:t>
      </w:r>
      <w:r w:rsidR="00A81E18" w:rsidRPr="00191DCA">
        <w:rPr>
          <w:sz w:val="28"/>
          <w:szCs w:val="28"/>
        </w:rPr>
        <w:t>H</w:t>
      </w:r>
      <w:r w:rsidR="00255A4A" w:rsidRPr="00191DCA">
        <w:rPr>
          <w:sz w:val="28"/>
          <w:szCs w:val="28"/>
        </w:rPr>
        <w:t xml:space="preserve">ợp đồng tiếp tục đăng ký làm nhân viên đại lý thu </w:t>
      </w:r>
      <w:r w:rsidR="004903B6" w:rsidRPr="00191DCA">
        <w:rPr>
          <w:sz w:val="28"/>
          <w:szCs w:val="28"/>
        </w:rPr>
        <w:t xml:space="preserve">với </w:t>
      </w:r>
      <w:r w:rsidR="0020075C" w:rsidRPr="00191DCA">
        <w:rPr>
          <w:sz w:val="28"/>
          <w:szCs w:val="28"/>
        </w:rPr>
        <w:t>T</w:t>
      </w:r>
      <w:r w:rsidR="004903B6" w:rsidRPr="00191DCA">
        <w:rPr>
          <w:sz w:val="28"/>
          <w:szCs w:val="28"/>
        </w:rPr>
        <w:t>ổ chức dịch vụ</w:t>
      </w:r>
      <w:r w:rsidR="00255A4A" w:rsidRPr="00191DCA">
        <w:rPr>
          <w:sz w:val="28"/>
          <w:szCs w:val="28"/>
        </w:rPr>
        <w:t xml:space="preserve"> được cơ quan BHXH ký Hợp đồng ủy quyền thu</w:t>
      </w:r>
      <w:r w:rsidR="00A944F1" w:rsidRPr="00191DCA">
        <w:rPr>
          <w:sz w:val="28"/>
          <w:szCs w:val="28"/>
        </w:rPr>
        <w:t xml:space="preserve"> BHXH, BHYT từ ngày 01/07/2022</w:t>
      </w:r>
      <w:r w:rsidRPr="00191DCA">
        <w:rPr>
          <w:sz w:val="28"/>
          <w:szCs w:val="28"/>
        </w:rPr>
        <w:t>;</w:t>
      </w:r>
    </w:p>
    <w:p w14:paraId="6117CF4E" w14:textId="5EB51D7F" w:rsidR="00156959" w:rsidRPr="00191DCA" w:rsidRDefault="00292403" w:rsidP="006F2DC5">
      <w:pPr>
        <w:spacing w:before="120" w:after="0" w:line="240" w:lineRule="auto"/>
        <w:ind w:firstLine="720"/>
        <w:jc w:val="both"/>
      </w:pPr>
      <w:r w:rsidRPr="00191DCA">
        <w:t>+</w:t>
      </w:r>
      <w:r w:rsidR="00EC7078" w:rsidRPr="00191DCA">
        <w:t xml:space="preserve"> Phối hợp cơ quan BHXH, </w:t>
      </w:r>
      <w:r w:rsidR="006E0C05" w:rsidRPr="00191DCA">
        <w:t>T</w:t>
      </w:r>
      <w:r w:rsidR="00EC7078" w:rsidRPr="00191DCA">
        <w:t>ổ chức dịch vụ nhận ủy quyền thu BHXH, BHYT tổ chức hội nghị khách hàng để tuyên truyền, vận động phát triển người tham gia BHXH</w:t>
      </w:r>
      <w:r w:rsidRPr="00191DCA">
        <w:t xml:space="preserve"> tự nguyện</w:t>
      </w:r>
      <w:r w:rsidR="00EC7078" w:rsidRPr="00191DCA">
        <w:t>, BHYT</w:t>
      </w:r>
      <w:r w:rsidRPr="00191DCA">
        <w:t>.</w:t>
      </w:r>
    </w:p>
    <w:p w14:paraId="2F78EC0E" w14:textId="0596C067" w:rsidR="00C54B29" w:rsidRPr="00191DCA" w:rsidRDefault="00F60C82" w:rsidP="006F2DC5">
      <w:pPr>
        <w:pStyle w:val="Default"/>
        <w:spacing w:before="120"/>
        <w:ind w:firstLine="720"/>
        <w:rPr>
          <w:sz w:val="28"/>
          <w:szCs w:val="28"/>
        </w:rPr>
      </w:pPr>
      <w:r w:rsidRPr="00191DCA">
        <w:rPr>
          <w:b/>
          <w:bCs/>
          <w:sz w:val="28"/>
          <w:szCs w:val="28"/>
        </w:rPr>
        <w:t>3</w:t>
      </w:r>
      <w:r w:rsidR="00C54B29" w:rsidRPr="00191DCA">
        <w:rPr>
          <w:b/>
          <w:bCs/>
          <w:sz w:val="28"/>
          <w:szCs w:val="28"/>
        </w:rPr>
        <w:t xml:space="preserve">. Sở Thông tin và Truyền thông </w:t>
      </w:r>
    </w:p>
    <w:p w14:paraId="0F041B92" w14:textId="25883744" w:rsidR="000F5CC4" w:rsidRPr="00191DCA" w:rsidRDefault="00881519" w:rsidP="006F2DC5">
      <w:pPr>
        <w:pStyle w:val="Default"/>
        <w:spacing w:before="120"/>
        <w:ind w:firstLine="720"/>
        <w:jc w:val="both"/>
        <w:rPr>
          <w:sz w:val="28"/>
          <w:szCs w:val="28"/>
        </w:rPr>
      </w:pPr>
      <w:r>
        <w:rPr>
          <w:sz w:val="28"/>
          <w:szCs w:val="28"/>
        </w:rPr>
        <w:t>Hướng dẫn</w:t>
      </w:r>
      <w:r w:rsidR="00C54B29" w:rsidRPr="00191DCA">
        <w:rPr>
          <w:sz w:val="28"/>
          <w:szCs w:val="28"/>
        </w:rPr>
        <w:t xml:space="preserve"> các cơ quan báo chí, phát thanh, truyền hình của tỉnh phối hợp với cơ quan BHXH</w:t>
      </w:r>
      <w:r w:rsidR="00F60C82" w:rsidRPr="00191DCA">
        <w:rPr>
          <w:sz w:val="28"/>
          <w:szCs w:val="28"/>
        </w:rPr>
        <w:t xml:space="preserve">, các </w:t>
      </w:r>
      <w:r w:rsidR="006E0C05" w:rsidRPr="00191DCA">
        <w:rPr>
          <w:sz w:val="28"/>
          <w:szCs w:val="28"/>
        </w:rPr>
        <w:t>T</w:t>
      </w:r>
      <w:r w:rsidR="00F60C82" w:rsidRPr="00191DCA">
        <w:rPr>
          <w:sz w:val="28"/>
          <w:szCs w:val="28"/>
        </w:rPr>
        <w:t>ổ chức dịch vụ nhận ủy quyền thu BHXH, BHYT</w:t>
      </w:r>
      <w:r w:rsidR="00C54B29" w:rsidRPr="00191DCA">
        <w:rPr>
          <w:sz w:val="28"/>
          <w:szCs w:val="28"/>
        </w:rPr>
        <w:t xml:space="preserve"> tăng cường các hình thức tuyên truyền </w:t>
      </w:r>
      <w:r w:rsidR="008A1FFC" w:rsidRPr="00191DCA">
        <w:rPr>
          <w:sz w:val="28"/>
          <w:szCs w:val="28"/>
        </w:rPr>
        <w:t xml:space="preserve">về </w:t>
      </w:r>
      <w:r w:rsidR="00F60C82" w:rsidRPr="00191DCA">
        <w:rPr>
          <w:rFonts w:eastAsia="Times New Roman"/>
          <w:sz w:val="28"/>
          <w:szCs w:val="28"/>
        </w:rPr>
        <w:t>chính sách, pháp luật BHXH, BHYT</w:t>
      </w:r>
      <w:r w:rsidR="00F60C82" w:rsidRPr="00191DCA">
        <w:rPr>
          <w:rFonts w:eastAsia="Times New Roman"/>
          <w:szCs w:val="28"/>
        </w:rPr>
        <w:t xml:space="preserve"> </w:t>
      </w:r>
      <w:r w:rsidR="00C54B29" w:rsidRPr="00191DCA">
        <w:rPr>
          <w:sz w:val="28"/>
          <w:szCs w:val="28"/>
        </w:rPr>
        <w:t>phù hợp với từng nhóm người tham gia tiềm năng để phát triển người dân tham gia BHXH tự nguyện</w:t>
      </w:r>
      <w:r w:rsidR="00553559" w:rsidRPr="00191DCA">
        <w:rPr>
          <w:sz w:val="28"/>
          <w:szCs w:val="28"/>
        </w:rPr>
        <w:t>, BHYT</w:t>
      </w:r>
      <w:r w:rsidR="00C54B29" w:rsidRPr="00191DCA">
        <w:rPr>
          <w:sz w:val="28"/>
          <w:szCs w:val="28"/>
        </w:rPr>
        <w:t xml:space="preserve"> đạt mục tiêu và tính bền vững. </w:t>
      </w:r>
      <w:r w:rsidR="000F5CC4" w:rsidRPr="00191DCA">
        <w:rPr>
          <w:sz w:val="28"/>
          <w:szCs w:val="28"/>
        </w:rPr>
        <w:t>Đẩy mạnh thông tin, tuyên truyền việc tổ chức thực hiện chính sách BHXH, BHYT, gương người tốt, việc tốt, mô hình mới, nhân tố mới trong việc thực hiện chính sách và phát triển người tham gia BHXH, BHYT.</w:t>
      </w:r>
    </w:p>
    <w:p w14:paraId="3726290D" w14:textId="370AF53A" w:rsidR="00313D0E" w:rsidRPr="00191DCA" w:rsidRDefault="008E4B61" w:rsidP="006F2DC5">
      <w:pPr>
        <w:pStyle w:val="Default"/>
        <w:spacing w:before="120"/>
        <w:ind w:firstLine="720"/>
        <w:jc w:val="both"/>
        <w:rPr>
          <w:b/>
          <w:bCs/>
          <w:sz w:val="28"/>
          <w:szCs w:val="28"/>
        </w:rPr>
      </w:pPr>
      <w:r w:rsidRPr="00191DCA">
        <w:rPr>
          <w:b/>
          <w:bCs/>
          <w:sz w:val="28"/>
          <w:szCs w:val="28"/>
        </w:rPr>
        <w:lastRenderedPageBreak/>
        <w:t xml:space="preserve">4. Bảo hiểm xã hội tỉnh </w:t>
      </w:r>
    </w:p>
    <w:p w14:paraId="7E7E54F3" w14:textId="2D069E11" w:rsidR="00580096" w:rsidRPr="00191DCA" w:rsidRDefault="00AF6A91" w:rsidP="006F2DC5">
      <w:pPr>
        <w:pStyle w:val="Default"/>
        <w:spacing w:before="120"/>
        <w:ind w:firstLine="720"/>
        <w:jc w:val="both"/>
        <w:rPr>
          <w:sz w:val="28"/>
          <w:szCs w:val="28"/>
        </w:rPr>
      </w:pPr>
      <w:r w:rsidRPr="00191DCA">
        <w:rPr>
          <w:rFonts w:eastAsia="Times New Roman"/>
          <w:color w:val="auto"/>
          <w:sz w:val="28"/>
          <w:szCs w:val="28"/>
        </w:rPr>
        <w:t xml:space="preserve">- </w:t>
      </w:r>
      <w:r w:rsidR="008E4B61" w:rsidRPr="00191DCA">
        <w:rPr>
          <w:rFonts w:eastAsia="Times New Roman"/>
          <w:color w:val="auto"/>
          <w:sz w:val="28"/>
          <w:szCs w:val="28"/>
        </w:rPr>
        <w:t>C</w:t>
      </w:r>
      <w:r w:rsidR="00580096" w:rsidRPr="00191DCA">
        <w:rPr>
          <w:sz w:val="28"/>
          <w:szCs w:val="28"/>
        </w:rPr>
        <w:t xml:space="preserve">hủ động phối hợp với </w:t>
      </w:r>
      <w:r w:rsidR="00AD1FFF" w:rsidRPr="00191DCA">
        <w:rPr>
          <w:rFonts w:eastAsia="Times New Roman"/>
          <w:color w:val="auto"/>
          <w:sz w:val="28"/>
          <w:szCs w:val="28"/>
        </w:rPr>
        <w:t xml:space="preserve">các </w:t>
      </w:r>
      <w:r w:rsidR="00183B9A" w:rsidRPr="00191DCA">
        <w:rPr>
          <w:rFonts w:eastAsia="Times New Roman"/>
          <w:color w:val="auto"/>
          <w:sz w:val="28"/>
          <w:szCs w:val="28"/>
        </w:rPr>
        <w:t xml:space="preserve">các Sở, Ngành, Hội đoàn thể tỉnh, </w:t>
      </w:r>
      <w:r w:rsidR="00FB16BD" w:rsidRPr="00191DCA">
        <w:rPr>
          <w:rFonts w:eastAsia="Times New Roman"/>
          <w:color w:val="auto"/>
          <w:sz w:val="28"/>
          <w:szCs w:val="28"/>
        </w:rPr>
        <w:t>Ủy ban nhân dân</w:t>
      </w:r>
      <w:r w:rsidR="00183B9A" w:rsidRPr="00191DCA">
        <w:rPr>
          <w:rFonts w:eastAsia="Times New Roman"/>
          <w:color w:val="auto"/>
          <w:sz w:val="28"/>
          <w:szCs w:val="28"/>
        </w:rPr>
        <w:t xml:space="preserve"> các huyện, thành phố, các </w:t>
      </w:r>
      <w:r w:rsidR="00E26839" w:rsidRPr="00191DCA">
        <w:rPr>
          <w:sz w:val="28"/>
          <w:szCs w:val="28"/>
        </w:rPr>
        <w:t>Tổ chức dịch vụ nhận ủy quyền thu BHXH, BHYT</w:t>
      </w:r>
      <w:r w:rsidR="00183B9A" w:rsidRPr="00191DCA">
        <w:rPr>
          <w:rFonts w:eastAsia="Times New Roman"/>
          <w:color w:val="auto"/>
          <w:sz w:val="28"/>
          <w:szCs w:val="28"/>
        </w:rPr>
        <w:t xml:space="preserve"> </w:t>
      </w:r>
      <w:r w:rsidR="00E26839" w:rsidRPr="00191DCA">
        <w:rPr>
          <w:sz w:val="28"/>
          <w:szCs w:val="28"/>
        </w:rPr>
        <w:t>triển khai thực hiện</w:t>
      </w:r>
      <w:r w:rsidR="00580096" w:rsidRPr="00191DCA">
        <w:rPr>
          <w:sz w:val="28"/>
          <w:szCs w:val="28"/>
        </w:rPr>
        <w:t xml:space="preserve"> </w:t>
      </w:r>
      <w:r w:rsidR="00580096" w:rsidRPr="00191DCA">
        <w:rPr>
          <w:sz w:val="28"/>
          <w:szCs w:val="28"/>
          <w:highlight w:val="white"/>
        </w:rPr>
        <w:t>Quyết định số 1155/QĐ-BHXH</w:t>
      </w:r>
      <w:r w:rsidR="00580096" w:rsidRPr="00191DCA">
        <w:rPr>
          <w:sz w:val="28"/>
          <w:szCs w:val="28"/>
        </w:rPr>
        <w:t xml:space="preserve"> và Công văn số 1234/BHXH-TST của BHXH Việt Nam</w:t>
      </w:r>
      <w:r w:rsidR="008057A5" w:rsidRPr="00191DCA">
        <w:rPr>
          <w:sz w:val="28"/>
          <w:szCs w:val="28"/>
        </w:rPr>
        <w:t xml:space="preserve"> kịp thời, hiệu quả</w:t>
      </w:r>
      <w:r w:rsidR="00881519">
        <w:rPr>
          <w:sz w:val="28"/>
          <w:szCs w:val="28"/>
        </w:rPr>
        <w:t xml:space="preserve"> và đúng quy định</w:t>
      </w:r>
      <w:r w:rsidR="00961AE2" w:rsidRPr="00191DCA">
        <w:rPr>
          <w:sz w:val="28"/>
          <w:szCs w:val="28"/>
        </w:rPr>
        <w:t>.</w:t>
      </w:r>
    </w:p>
    <w:p w14:paraId="5DAA27F7" w14:textId="6F3309C0" w:rsidR="00F04C8F" w:rsidRPr="00191DCA" w:rsidRDefault="00F04C8F" w:rsidP="006F2DC5">
      <w:pPr>
        <w:pStyle w:val="Default"/>
        <w:spacing w:before="120"/>
        <w:ind w:firstLine="720"/>
        <w:jc w:val="both"/>
        <w:rPr>
          <w:rFonts w:eastAsia="Times New Roman"/>
          <w:color w:val="auto"/>
          <w:sz w:val="28"/>
          <w:szCs w:val="28"/>
        </w:rPr>
      </w:pPr>
      <w:r w:rsidRPr="00191DCA">
        <w:rPr>
          <w:sz w:val="28"/>
          <w:szCs w:val="28"/>
        </w:rPr>
        <w:t xml:space="preserve">- </w:t>
      </w:r>
      <w:r w:rsidR="0025053D">
        <w:rPr>
          <w:sz w:val="28"/>
          <w:szCs w:val="28"/>
        </w:rPr>
        <w:t>T</w:t>
      </w:r>
      <w:r w:rsidR="0025053D" w:rsidRPr="00191DCA">
        <w:rPr>
          <w:sz w:val="28"/>
          <w:szCs w:val="28"/>
        </w:rPr>
        <w:t xml:space="preserve">ổ chức thực hiện </w:t>
      </w:r>
      <w:r w:rsidRPr="00191DCA">
        <w:rPr>
          <w:sz w:val="28"/>
          <w:szCs w:val="28"/>
        </w:rPr>
        <w:t xml:space="preserve">nội dung </w:t>
      </w:r>
      <w:r w:rsidR="0025053D">
        <w:rPr>
          <w:sz w:val="28"/>
          <w:szCs w:val="28"/>
        </w:rPr>
        <w:t xml:space="preserve">các </w:t>
      </w:r>
      <w:r w:rsidR="00142D7D" w:rsidRPr="00191DCA">
        <w:rPr>
          <w:rFonts w:eastAsia="Times New Roman"/>
          <w:color w:val="auto"/>
          <w:sz w:val="28"/>
          <w:szCs w:val="28"/>
        </w:rPr>
        <w:t>Quy chế phối hợp</w:t>
      </w:r>
      <w:r w:rsidR="00142D7D" w:rsidRPr="00191DCA">
        <w:rPr>
          <w:rFonts w:eastAsia="Times New Roman"/>
          <w:sz w:val="28"/>
          <w:szCs w:val="28"/>
        </w:rPr>
        <w:t xml:space="preserve"> thực hiện chính sách, pháp luật BHXH, BHYT </w:t>
      </w:r>
      <w:r w:rsidR="00AF6A91" w:rsidRPr="00191DCA">
        <w:rPr>
          <w:rFonts w:eastAsia="Times New Roman"/>
          <w:sz w:val="28"/>
          <w:szCs w:val="28"/>
        </w:rPr>
        <w:t>đã ký</w:t>
      </w:r>
      <w:r w:rsidR="0025053D">
        <w:rPr>
          <w:rFonts w:eastAsia="Times New Roman"/>
          <w:sz w:val="28"/>
          <w:szCs w:val="28"/>
        </w:rPr>
        <w:t xml:space="preserve"> với các cơ quan, đơn vị đảm bảo hiệu quả, đúng quy định</w:t>
      </w:r>
      <w:r w:rsidRPr="00191DCA">
        <w:rPr>
          <w:sz w:val="28"/>
          <w:szCs w:val="28"/>
        </w:rPr>
        <w:t xml:space="preserve">. </w:t>
      </w:r>
      <w:r w:rsidR="00AF6A91" w:rsidRPr="00191DCA">
        <w:rPr>
          <w:sz w:val="28"/>
          <w:szCs w:val="28"/>
        </w:rPr>
        <w:t xml:space="preserve">Theo dõi, </w:t>
      </w:r>
      <w:r w:rsidR="00AF6A91" w:rsidRPr="00191DCA">
        <w:rPr>
          <w:sz w:val="28"/>
          <w:szCs w:val="28"/>
          <w:lang w:val="en-GB"/>
        </w:rPr>
        <w:t>đánh giá kết quả công tác phối hợp, kịp thời tháo gỡ những</w:t>
      </w:r>
      <w:r w:rsidR="00AF6A91" w:rsidRPr="00191DCA">
        <w:rPr>
          <w:sz w:val="28"/>
          <w:szCs w:val="28"/>
          <w:lang w:val="vi-VN"/>
        </w:rPr>
        <w:t xml:space="preserve"> khó khăn, vướng mắc</w:t>
      </w:r>
      <w:r w:rsidR="00AF6A91" w:rsidRPr="00191DCA">
        <w:rPr>
          <w:sz w:val="28"/>
          <w:szCs w:val="28"/>
        </w:rPr>
        <w:t>, đ</w:t>
      </w:r>
      <w:r w:rsidR="00881519">
        <w:rPr>
          <w:sz w:val="28"/>
          <w:szCs w:val="28"/>
        </w:rPr>
        <w:t>ề</w:t>
      </w:r>
      <w:r w:rsidR="00AF6A91" w:rsidRPr="00191DCA">
        <w:rPr>
          <w:sz w:val="28"/>
          <w:szCs w:val="28"/>
        </w:rPr>
        <w:t xml:space="preserve"> ra các giải pháp </w:t>
      </w:r>
      <w:r w:rsidR="00881519">
        <w:rPr>
          <w:sz w:val="28"/>
          <w:szCs w:val="28"/>
        </w:rPr>
        <w:t xml:space="preserve">thiết thực, hữu hiệu </w:t>
      </w:r>
      <w:bookmarkStart w:id="1" w:name="_GoBack"/>
      <w:bookmarkEnd w:id="1"/>
      <w:r w:rsidR="00AF6A91" w:rsidRPr="00191DCA">
        <w:rPr>
          <w:sz w:val="28"/>
          <w:szCs w:val="28"/>
        </w:rPr>
        <w:t xml:space="preserve">nhằm </w:t>
      </w:r>
      <w:r w:rsidR="00AF6A91" w:rsidRPr="00191DCA">
        <w:rPr>
          <w:sz w:val="28"/>
          <w:szCs w:val="28"/>
          <w:lang w:val="vi-VN"/>
        </w:rPr>
        <w:t xml:space="preserve">nâng cao </w:t>
      </w:r>
      <w:r w:rsidR="00AF6A91" w:rsidRPr="00191DCA">
        <w:rPr>
          <w:sz w:val="28"/>
          <w:szCs w:val="28"/>
        </w:rPr>
        <w:t xml:space="preserve">chất lượng, </w:t>
      </w:r>
      <w:r w:rsidR="00AF6A91" w:rsidRPr="00191DCA">
        <w:rPr>
          <w:sz w:val="28"/>
          <w:szCs w:val="28"/>
          <w:lang w:val="vi-VN"/>
        </w:rPr>
        <w:t xml:space="preserve">hiệu quả công tác </w:t>
      </w:r>
      <w:r w:rsidR="00AF6A91" w:rsidRPr="00191DCA">
        <w:rPr>
          <w:sz w:val="28"/>
          <w:szCs w:val="28"/>
        </w:rPr>
        <w:t>truyền thông chính sách BHXH, BHYT, phát triển người tham gia BHXH, BHYT</w:t>
      </w:r>
      <w:r w:rsidR="00F55975" w:rsidRPr="00191DCA">
        <w:rPr>
          <w:sz w:val="28"/>
          <w:szCs w:val="28"/>
          <w:lang w:val="en-GB"/>
        </w:rPr>
        <w:t xml:space="preserve"> </w:t>
      </w:r>
      <w:r w:rsidR="00F55975" w:rsidRPr="00191DCA">
        <w:rPr>
          <w:sz w:val="28"/>
          <w:szCs w:val="28"/>
        </w:rPr>
        <w:t>đảm bảo hoàn thành các chỉ tiêu, nhiệm vụ được giao.</w:t>
      </w:r>
    </w:p>
    <w:p w14:paraId="3567BE49" w14:textId="221F9E32" w:rsidR="00AF6A91" w:rsidRPr="00191DCA" w:rsidRDefault="008057A5" w:rsidP="006F2DC5">
      <w:pPr>
        <w:spacing w:before="120" w:after="0" w:line="240" w:lineRule="auto"/>
        <w:ind w:firstLine="720"/>
        <w:jc w:val="both"/>
      </w:pPr>
      <w:r w:rsidRPr="00191DCA">
        <w:t xml:space="preserve">- Chỉ đạo BHXH các huyện triển khai thực hiện </w:t>
      </w:r>
      <w:r w:rsidRPr="00191DCA">
        <w:rPr>
          <w:szCs w:val="28"/>
          <w:highlight w:val="white"/>
        </w:rPr>
        <w:t>Quyết định số 1155/QĐ-BHXH</w:t>
      </w:r>
      <w:r w:rsidRPr="00191DCA">
        <w:rPr>
          <w:szCs w:val="28"/>
        </w:rPr>
        <w:t xml:space="preserve"> và Công văn số 1234/BHXH-TST của BHXH Việt Nam theo phân cấp.</w:t>
      </w:r>
    </w:p>
    <w:p w14:paraId="620DE3F7" w14:textId="22A39E3C" w:rsidR="00700B70" w:rsidRPr="00191DCA" w:rsidRDefault="00042A79" w:rsidP="006F2DC5">
      <w:pPr>
        <w:pStyle w:val="Default"/>
        <w:spacing w:before="120"/>
        <w:ind w:firstLine="720"/>
        <w:jc w:val="both"/>
        <w:rPr>
          <w:sz w:val="28"/>
          <w:szCs w:val="28"/>
        </w:rPr>
      </w:pPr>
      <w:r w:rsidRPr="00191DCA">
        <w:rPr>
          <w:rFonts w:eastAsia="Times New Roman"/>
          <w:color w:val="auto"/>
          <w:sz w:val="28"/>
          <w:szCs w:val="28"/>
        </w:rPr>
        <w:t xml:space="preserve">Đề nghị các </w:t>
      </w:r>
      <w:r w:rsidR="0025053D">
        <w:rPr>
          <w:rFonts w:eastAsia="Times New Roman"/>
          <w:color w:val="auto"/>
          <w:sz w:val="28"/>
          <w:szCs w:val="28"/>
        </w:rPr>
        <w:t>cơ quan, đơn vị, địa phương</w:t>
      </w:r>
      <w:r w:rsidR="00005E76" w:rsidRPr="00191DCA">
        <w:rPr>
          <w:rFonts w:eastAsia="Times New Roman"/>
          <w:color w:val="auto"/>
          <w:sz w:val="28"/>
          <w:szCs w:val="28"/>
        </w:rPr>
        <w:t xml:space="preserve"> </w:t>
      </w:r>
      <w:r w:rsidR="00005E76" w:rsidRPr="00191DCA">
        <w:rPr>
          <w:sz w:val="28"/>
          <w:szCs w:val="28"/>
        </w:rPr>
        <w:t>thực hiện tốt các nội dung nêu trên; quá trình thực hiện nếu có khó khăn, vướng mắc báo cáo Ủy ban nhân dân tỉnh xem xét giải quyết (thông qua BHXH tỉnh tổng hợp). Giao BHXH tỉnh theo dõi</w:t>
      </w:r>
      <w:r w:rsidR="00B60E48">
        <w:rPr>
          <w:sz w:val="28"/>
          <w:szCs w:val="28"/>
        </w:rPr>
        <w:t>,</w:t>
      </w:r>
      <w:r w:rsidR="00005E76" w:rsidRPr="00191DCA">
        <w:rPr>
          <w:sz w:val="28"/>
          <w:szCs w:val="28"/>
        </w:rPr>
        <w:t xml:space="preserve"> đôn đốc việc thực hiện của các cơ quan, đơn vị, địa phương; định kỳ 06 tháng, hằng năm báo cáo kết quả thực hiện với Ủy ban nhân dân tỉnh./.</w:t>
      </w:r>
    </w:p>
    <w:p w14:paraId="57E01624" w14:textId="77777777" w:rsidR="00FB16BD" w:rsidRPr="00600AAA" w:rsidRDefault="00FB16BD" w:rsidP="00600AAA">
      <w:pPr>
        <w:pStyle w:val="Default"/>
        <w:spacing w:before="120" w:after="120" w:line="288" w:lineRule="auto"/>
        <w:ind w:firstLine="720"/>
        <w:jc w:val="both"/>
        <w:rPr>
          <w:sz w:val="28"/>
          <w:szCs w:val="28"/>
        </w:rPr>
      </w:pPr>
    </w:p>
    <w:tbl>
      <w:tblPr>
        <w:tblW w:w="9396" w:type="dxa"/>
        <w:tblInd w:w="-108" w:type="dxa"/>
        <w:tblLayout w:type="fixed"/>
        <w:tblLook w:val="0000" w:firstRow="0" w:lastRow="0" w:firstColumn="0" w:lastColumn="0" w:noHBand="0" w:noVBand="0"/>
      </w:tblPr>
      <w:tblGrid>
        <w:gridCol w:w="5166"/>
        <w:gridCol w:w="4230"/>
      </w:tblGrid>
      <w:tr w:rsidR="00B81438" w:rsidRPr="00AE32E1" w14:paraId="547E2858" w14:textId="77777777" w:rsidTr="0020075C">
        <w:trPr>
          <w:trHeight w:val="793"/>
        </w:trPr>
        <w:tc>
          <w:tcPr>
            <w:tcW w:w="5166" w:type="dxa"/>
            <w:shd w:val="clear" w:color="auto" w:fill="auto"/>
          </w:tcPr>
          <w:p w14:paraId="290439FD" w14:textId="77777777" w:rsidR="00B81438" w:rsidRPr="00B60E48" w:rsidRDefault="00B81438" w:rsidP="00B81438">
            <w:pPr>
              <w:pStyle w:val="Default"/>
              <w:rPr>
                <w:b/>
                <w:bCs/>
                <w:i/>
                <w:iCs/>
              </w:rPr>
            </w:pPr>
            <w:r w:rsidRPr="00B60E48">
              <w:rPr>
                <w:b/>
                <w:bCs/>
                <w:i/>
                <w:iCs/>
              </w:rPr>
              <w:t xml:space="preserve">Nơi nhận:    </w:t>
            </w:r>
          </w:p>
          <w:p w14:paraId="69D44411" w14:textId="77777777" w:rsidR="00126FA6" w:rsidRDefault="00126FA6" w:rsidP="00126FA6">
            <w:pPr>
              <w:pStyle w:val="Default"/>
              <w:rPr>
                <w:sz w:val="22"/>
                <w:szCs w:val="22"/>
              </w:rPr>
            </w:pPr>
            <w:r>
              <w:rPr>
                <w:sz w:val="22"/>
                <w:szCs w:val="22"/>
              </w:rPr>
              <w:t xml:space="preserve">- Như trên (th/hiện); </w:t>
            </w:r>
          </w:p>
          <w:p w14:paraId="0F4430B9" w14:textId="77777777" w:rsidR="00126FA6" w:rsidRDefault="00126FA6" w:rsidP="00126FA6">
            <w:pPr>
              <w:pStyle w:val="Default"/>
              <w:rPr>
                <w:sz w:val="22"/>
                <w:szCs w:val="22"/>
              </w:rPr>
            </w:pPr>
            <w:r>
              <w:rPr>
                <w:sz w:val="22"/>
                <w:szCs w:val="22"/>
              </w:rPr>
              <w:t xml:space="preserve">- TT. Tỉnh ủy, TT. HĐND tỉnh (b/c); </w:t>
            </w:r>
          </w:p>
          <w:p w14:paraId="460DD5F0" w14:textId="71C1031F" w:rsidR="00126FA6" w:rsidRDefault="00126FA6" w:rsidP="00126FA6">
            <w:pPr>
              <w:pStyle w:val="Default"/>
              <w:rPr>
                <w:sz w:val="22"/>
                <w:szCs w:val="22"/>
              </w:rPr>
            </w:pPr>
            <w:r>
              <w:rPr>
                <w:sz w:val="22"/>
                <w:szCs w:val="22"/>
              </w:rPr>
              <w:t>- CT và PCT UBND tỉnh</w:t>
            </w:r>
            <w:r w:rsidR="00B60E48">
              <w:rPr>
                <w:sz w:val="22"/>
                <w:szCs w:val="22"/>
              </w:rPr>
              <w:t xml:space="preserve"> NLB</w:t>
            </w:r>
            <w:r>
              <w:rPr>
                <w:sz w:val="22"/>
                <w:szCs w:val="22"/>
              </w:rPr>
              <w:t xml:space="preserve">; </w:t>
            </w:r>
          </w:p>
          <w:p w14:paraId="1BD542E3" w14:textId="53A2F739" w:rsidR="00126FA6" w:rsidRDefault="00126FA6" w:rsidP="00126FA6">
            <w:pPr>
              <w:pStyle w:val="Default"/>
              <w:rPr>
                <w:sz w:val="22"/>
                <w:szCs w:val="22"/>
              </w:rPr>
            </w:pPr>
            <w:r>
              <w:rPr>
                <w:sz w:val="22"/>
                <w:szCs w:val="22"/>
              </w:rPr>
              <w:t xml:space="preserve">- UBMTTQVN tỉnh; </w:t>
            </w:r>
          </w:p>
          <w:p w14:paraId="2DF337AD" w14:textId="5D7365F7" w:rsidR="00372733" w:rsidRDefault="00372733" w:rsidP="00126FA6">
            <w:pPr>
              <w:pStyle w:val="Default"/>
              <w:rPr>
                <w:sz w:val="22"/>
                <w:szCs w:val="22"/>
              </w:rPr>
            </w:pPr>
            <w:r>
              <w:rPr>
                <w:sz w:val="22"/>
                <w:szCs w:val="22"/>
              </w:rPr>
              <w:t>- Thành viên BCĐ;</w:t>
            </w:r>
          </w:p>
          <w:p w14:paraId="5F73CB1D" w14:textId="77777777" w:rsidR="00126FA6" w:rsidRDefault="00126FA6" w:rsidP="00126FA6">
            <w:pPr>
              <w:pStyle w:val="Default"/>
              <w:rPr>
                <w:sz w:val="22"/>
                <w:szCs w:val="22"/>
              </w:rPr>
            </w:pPr>
            <w:r>
              <w:rPr>
                <w:sz w:val="22"/>
                <w:szCs w:val="22"/>
              </w:rPr>
              <w:t xml:space="preserve">- VPUB: LĐ; </w:t>
            </w:r>
          </w:p>
          <w:p w14:paraId="33833AE4" w14:textId="66442B5B" w:rsidR="00B81438" w:rsidRPr="00AE32E1" w:rsidRDefault="00126FA6" w:rsidP="00126FA6">
            <w:pPr>
              <w:pStyle w:val="Default"/>
              <w:rPr>
                <w:b/>
                <w:bCs/>
                <w:i/>
                <w:iCs/>
                <w:sz w:val="23"/>
                <w:szCs w:val="23"/>
              </w:rPr>
            </w:pPr>
            <w:r>
              <w:rPr>
                <w:sz w:val="22"/>
                <w:szCs w:val="22"/>
              </w:rPr>
              <w:t xml:space="preserve">- Lưu: VT, VXNV. </w:t>
            </w:r>
            <w:r w:rsidRPr="00B60E48">
              <w:rPr>
                <w:sz w:val="18"/>
                <w:szCs w:val="22"/>
              </w:rPr>
              <w:t xml:space="preserve">NNN </w:t>
            </w:r>
          </w:p>
        </w:tc>
        <w:tc>
          <w:tcPr>
            <w:tcW w:w="4230" w:type="dxa"/>
            <w:shd w:val="clear" w:color="auto" w:fill="auto"/>
          </w:tcPr>
          <w:p w14:paraId="222382EF" w14:textId="77777777" w:rsidR="00865FD4" w:rsidRDefault="00865FD4" w:rsidP="00961AE2">
            <w:pPr>
              <w:pStyle w:val="Default"/>
              <w:jc w:val="center"/>
              <w:rPr>
                <w:b/>
                <w:bCs/>
                <w:sz w:val="28"/>
                <w:szCs w:val="28"/>
              </w:rPr>
            </w:pPr>
            <w:r>
              <w:rPr>
                <w:b/>
                <w:bCs/>
                <w:sz w:val="28"/>
                <w:szCs w:val="28"/>
              </w:rPr>
              <w:t>TM. BAN CHỈ ĐẠO</w:t>
            </w:r>
          </w:p>
          <w:p w14:paraId="4C770535" w14:textId="5479198F" w:rsidR="00B81438" w:rsidRDefault="00865FD4" w:rsidP="00961AE2">
            <w:pPr>
              <w:pStyle w:val="Default"/>
              <w:jc w:val="center"/>
              <w:rPr>
                <w:b/>
                <w:bCs/>
                <w:sz w:val="28"/>
                <w:szCs w:val="28"/>
              </w:rPr>
            </w:pPr>
            <w:r>
              <w:rPr>
                <w:b/>
                <w:bCs/>
                <w:sz w:val="28"/>
                <w:szCs w:val="28"/>
              </w:rPr>
              <w:t>TRƯỞNG BAN</w:t>
            </w:r>
          </w:p>
          <w:p w14:paraId="0D0F596A" w14:textId="142F9F36" w:rsidR="00B81438" w:rsidRDefault="00B81438" w:rsidP="00961AE2">
            <w:pPr>
              <w:pStyle w:val="Default"/>
              <w:jc w:val="center"/>
              <w:rPr>
                <w:b/>
                <w:bCs/>
                <w:sz w:val="28"/>
                <w:szCs w:val="28"/>
              </w:rPr>
            </w:pPr>
          </w:p>
          <w:p w14:paraId="257129AE" w14:textId="77777777" w:rsidR="00B81438" w:rsidRDefault="00B81438" w:rsidP="00B81438">
            <w:pPr>
              <w:pStyle w:val="Default"/>
              <w:rPr>
                <w:b/>
                <w:bCs/>
                <w:sz w:val="28"/>
                <w:szCs w:val="28"/>
              </w:rPr>
            </w:pPr>
          </w:p>
          <w:p w14:paraId="45E12104" w14:textId="77777777" w:rsidR="00961AE2" w:rsidRDefault="00961AE2" w:rsidP="00961AE2">
            <w:pPr>
              <w:jc w:val="center"/>
            </w:pPr>
          </w:p>
          <w:p w14:paraId="22CD6C1F" w14:textId="77777777" w:rsidR="00961AE2" w:rsidRPr="00B60E48" w:rsidRDefault="00961AE2" w:rsidP="00961AE2">
            <w:pPr>
              <w:jc w:val="center"/>
              <w:rPr>
                <w:sz w:val="56"/>
              </w:rPr>
            </w:pPr>
          </w:p>
          <w:p w14:paraId="173D9DC9" w14:textId="4482FE0A" w:rsidR="00961AE2" w:rsidRPr="00865FD4" w:rsidRDefault="00865FD4" w:rsidP="00865FD4">
            <w:pPr>
              <w:spacing w:after="0" w:line="240" w:lineRule="auto"/>
              <w:jc w:val="center"/>
              <w:rPr>
                <w:b/>
              </w:rPr>
            </w:pPr>
            <w:r w:rsidRPr="00865FD4">
              <w:rPr>
                <w:b/>
              </w:rPr>
              <w:t>PHÓ CHỦ TỊCH UBND TỈNH</w:t>
            </w:r>
          </w:p>
          <w:p w14:paraId="37124F6F" w14:textId="7FD35D5F" w:rsidR="00961AE2" w:rsidRPr="00961AE2" w:rsidRDefault="00961AE2" w:rsidP="00865FD4">
            <w:pPr>
              <w:spacing w:after="0" w:line="240" w:lineRule="auto"/>
              <w:jc w:val="center"/>
              <w:rPr>
                <w:b/>
                <w:bCs/>
              </w:rPr>
            </w:pPr>
            <w:r w:rsidRPr="00865FD4">
              <w:rPr>
                <w:b/>
                <w:bCs/>
              </w:rPr>
              <w:t>Nguyễn Long Biên</w:t>
            </w:r>
          </w:p>
        </w:tc>
      </w:tr>
    </w:tbl>
    <w:p w14:paraId="488D7267" w14:textId="77777777" w:rsidR="002E3AE3" w:rsidRDefault="002E3AE3" w:rsidP="002E3AE3">
      <w:pPr>
        <w:pStyle w:val="Default"/>
      </w:pPr>
    </w:p>
    <w:sectPr w:rsidR="002E3AE3" w:rsidSect="006F2DC5">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9AC76" w14:textId="77777777" w:rsidR="000F7F81" w:rsidRDefault="000F7F81" w:rsidP="00B60E48">
      <w:pPr>
        <w:spacing w:after="0" w:line="240" w:lineRule="auto"/>
      </w:pPr>
      <w:r>
        <w:separator/>
      </w:r>
    </w:p>
  </w:endnote>
  <w:endnote w:type="continuationSeparator" w:id="0">
    <w:p w14:paraId="27DB01E1" w14:textId="77777777" w:rsidR="000F7F81" w:rsidRDefault="000F7F81" w:rsidP="00B6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0604"/>
      <w:docPartObj>
        <w:docPartGallery w:val="Page Numbers (Bottom of Page)"/>
        <w:docPartUnique/>
      </w:docPartObj>
    </w:sdtPr>
    <w:sdtEndPr>
      <w:rPr>
        <w:noProof/>
        <w:sz w:val="24"/>
        <w:szCs w:val="24"/>
      </w:rPr>
    </w:sdtEndPr>
    <w:sdtContent>
      <w:p w14:paraId="67238D50" w14:textId="298B2EFE" w:rsidR="00B60E48" w:rsidRPr="00B60E48" w:rsidRDefault="00B60E48">
        <w:pPr>
          <w:pStyle w:val="Footer"/>
          <w:jc w:val="center"/>
          <w:rPr>
            <w:sz w:val="24"/>
            <w:szCs w:val="24"/>
          </w:rPr>
        </w:pPr>
        <w:r w:rsidRPr="00B60E48">
          <w:rPr>
            <w:sz w:val="24"/>
            <w:szCs w:val="24"/>
          </w:rPr>
          <w:fldChar w:fldCharType="begin"/>
        </w:r>
        <w:r w:rsidRPr="00B60E48">
          <w:rPr>
            <w:sz w:val="24"/>
            <w:szCs w:val="24"/>
          </w:rPr>
          <w:instrText xml:space="preserve"> PAGE   \* MERGEFORMAT </w:instrText>
        </w:r>
        <w:r w:rsidRPr="00B60E48">
          <w:rPr>
            <w:sz w:val="24"/>
            <w:szCs w:val="24"/>
          </w:rPr>
          <w:fldChar w:fldCharType="separate"/>
        </w:r>
        <w:r w:rsidR="00881519">
          <w:rPr>
            <w:noProof/>
            <w:sz w:val="24"/>
            <w:szCs w:val="24"/>
          </w:rPr>
          <w:t>3</w:t>
        </w:r>
        <w:r w:rsidRPr="00B60E48">
          <w:rPr>
            <w:noProof/>
            <w:sz w:val="24"/>
            <w:szCs w:val="24"/>
          </w:rPr>
          <w:fldChar w:fldCharType="end"/>
        </w:r>
      </w:p>
    </w:sdtContent>
  </w:sdt>
  <w:p w14:paraId="625321CC" w14:textId="77777777" w:rsidR="00B60E48" w:rsidRDefault="00B60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8EB46" w14:textId="77777777" w:rsidR="000F7F81" w:rsidRDefault="000F7F81" w:rsidP="00B60E48">
      <w:pPr>
        <w:spacing w:after="0" w:line="240" w:lineRule="auto"/>
      </w:pPr>
      <w:r>
        <w:separator/>
      </w:r>
    </w:p>
  </w:footnote>
  <w:footnote w:type="continuationSeparator" w:id="0">
    <w:p w14:paraId="067F4AE1" w14:textId="77777777" w:rsidR="000F7F81" w:rsidRDefault="000F7F81" w:rsidP="00B60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6A1"/>
    <w:multiLevelType w:val="hybridMultilevel"/>
    <w:tmpl w:val="3D66ECE0"/>
    <w:lvl w:ilvl="0" w:tplc="3F749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E3"/>
    <w:rsid w:val="00005E76"/>
    <w:rsid w:val="00012B5E"/>
    <w:rsid w:val="00042A79"/>
    <w:rsid w:val="000844C5"/>
    <w:rsid w:val="00097AD7"/>
    <w:rsid w:val="000E158F"/>
    <w:rsid w:val="000E70FF"/>
    <w:rsid w:val="000F216B"/>
    <w:rsid w:val="000F5CC4"/>
    <w:rsid w:val="000F7F81"/>
    <w:rsid w:val="00117156"/>
    <w:rsid w:val="00120BF5"/>
    <w:rsid w:val="00124340"/>
    <w:rsid w:val="00126BE5"/>
    <w:rsid w:val="00126FA6"/>
    <w:rsid w:val="00142D7D"/>
    <w:rsid w:val="001469FA"/>
    <w:rsid w:val="00156959"/>
    <w:rsid w:val="00183B9A"/>
    <w:rsid w:val="00191DCA"/>
    <w:rsid w:val="001B6B18"/>
    <w:rsid w:val="0020075C"/>
    <w:rsid w:val="00226B07"/>
    <w:rsid w:val="0025053D"/>
    <w:rsid w:val="00255A4A"/>
    <w:rsid w:val="0029221B"/>
    <w:rsid w:val="00292403"/>
    <w:rsid w:val="002E3AE3"/>
    <w:rsid w:val="002E4F9A"/>
    <w:rsid w:val="00313D0E"/>
    <w:rsid w:val="00325B2C"/>
    <w:rsid w:val="00325B9B"/>
    <w:rsid w:val="0033586C"/>
    <w:rsid w:val="00343356"/>
    <w:rsid w:val="003515F1"/>
    <w:rsid w:val="00357E4C"/>
    <w:rsid w:val="003709FE"/>
    <w:rsid w:val="00372733"/>
    <w:rsid w:val="00377370"/>
    <w:rsid w:val="00391C4B"/>
    <w:rsid w:val="00397D19"/>
    <w:rsid w:val="003A0359"/>
    <w:rsid w:val="003E3564"/>
    <w:rsid w:val="00424B9F"/>
    <w:rsid w:val="004903B6"/>
    <w:rsid w:val="004B0294"/>
    <w:rsid w:val="004F6477"/>
    <w:rsid w:val="00500010"/>
    <w:rsid w:val="00524CFB"/>
    <w:rsid w:val="00553559"/>
    <w:rsid w:val="00562EE2"/>
    <w:rsid w:val="00580096"/>
    <w:rsid w:val="005836A1"/>
    <w:rsid w:val="005C573E"/>
    <w:rsid w:val="00600AAA"/>
    <w:rsid w:val="00605441"/>
    <w:rsid w:val="00621659"/>
    <w:rsid w:val="00662112"/>
    <w:rsid w:val="00675BAF"/>
    <w:rsid w:val="006912D1"/>
    <w:rsid w:val="006A1FD7"/>
    <w:rsid w:val="006B5493"/>
    <w:rsid w:val="006E0C05"/>
    <w:rsid w:val="006F2DC5"/>
    <w:rsid w:val="006F6B4B"/>
    <w:rsid w:val="00700B70"/>
    <w:rsid w:val="00700D6C"/>
    <w:rsid w:val="00704CC9"/>
    <w:rsid w:val="0070640F"/>
    <w:rsid w:val="00743393"/>
    <w:rsid w:val="00743BED"/>
    <w:rsid w:val="007474B5"/>
    <w:rsid w:val="00771680"/>
    <w:rsid w:val="007B0712"/>
    <w:rsid w:val="007C02A2"/>
    <w:rsid w:val="008057A5"/>
    <w:rsid w:val="008112E8"/>
    <w:rsid w:val="008643F5"/>
    <w:rsid w:val="00865FD4"/>
    <w:rsid w:val="00881519"/>
    <w:rsid w:val="008936FD"/>
    <w:rsid w:val="008A1FFC"/>
    <w:rsid w:val="008A3FAA"/>
    <w:rsid w:val="008D2EAC"/>
    <w:rsid w:val="008D63F4"/>
    <w:rsid w:val="008E4B61"/>
    <w:rsid w:val="009239F2"/>
    <w:rsid w:val="0094266D"/>
    <w:rsid w:val="00961AE2"/>
    <w:rsid w:val="00994EEB"/>
    <w:rsid w:val="009B1242"/>
    <w:rsid w:val="009D21C6"/>
    <w:rsid w:val="009D2536"/>
    <w:rsid w:val="009E4CF0"/>
    <w:rsid w:val="00A5690A"/>
    <w:rsid w:val="00A57A96"/>
    <w:rsid w:val="00A744C9"/>
    <w:rsid w:val="00A81E18"/>
    <w:rsid w:val="00A944F1"/>
    <w:rsid w:val="00AD1FFF"/>
    <w:rsid w:val="00AE00BF"/>
    <w:rsid w:val="00AF6A91"/>
    <w:rsid w:val="00B10A7A"/>
    <w:rsid w:val="00B23A16"/>
    <w:rsid w:val="00B2665B"/>
    <w:rsid w:val="00B3418C"/>
    <w:rsid w:val="00B37FD2"/>
    <w:rsid w:val="00B47B26"/>
    <w:rsid w:val="00B55F25"/>
    <w:rsid w:val="00B60E48"/>
    <w:rsid w:val="00B6153D"/>
    <w:rsid w:val="00B67A70"/>
    <w:rsid w:val="00B75D8B"/>
    <w:rsid w:val="00B81438"/>
    <w:rsid w:val="00B85F1F"/>
    <w:rsid w:val="00BB207A"/>
    <w:rsid w:val="00BD2EB8"/>
    <w:rsid w:val="00BF7F7C"/>
    <w:rsid w:val="00C375F1"/>
    <w:rsid w:val="00C41C29"/>
    <w:rsid w:val="00C50BD5"/>
    <w:rsid w:val="00C54B29"/>
    <w:rsid w:val="00CE1950"/>
    <w:rsid w:val="00CE1F5C"/>
    <w:rsid w:val="00D02E9B"/>
    <w:rsid w:val="00D51523"/>
    <w:rsid w:val="00D71D8B"/>
    <w:rsid w:val="00DB5D3E"/>
    <w:rsid w:val="00DF6A39"/>
    <w:rsid w:val="00E03A2B"/>
    <w:rsid w:val="00E26839"/>
    <w:rsid w:val="00E30A22"/>
    <w:rsid w:val="00E43F16"/>
    <w:rsid w:val="00EB2CC3"/>
    <w:rsid w:val="00EB5F96"/>
    <w:rsid w:val="00EC7078"/>
    <w:rsid w:val="00EE2BD3"/>
    <w:rsid w:val="00F04C8F"/>
    <w:rsid w:val="00F12A50"/>
    <w:rsid w:val="00F369AE"/>
    <w:rsid w:val="00F55975"/>
    <w:rsid w:val="00F57B82"/>
    <w:rsid w:val="00F60C82"/>
    <w:rsid w:val="00F86149"/>
    <w:rsid w:val="00FB16BD"/>
    <w:rsid w:val="00FD641B"/>
    <w:rsid w:val="00FD74AD"/>
    <w:rsid w:val="00FD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AE3"/>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7B0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04C8F"/>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rsid w:val="00F04C8F"/>
    <w:rPr>
      <w:rFonts w:eastAsia="Times New Roman" w:cs="Times New Roman"/>
      <w:sz w:val="24"/>
      <w:szCs w:val="24"/>
    </w:rPr>
  </w:style>
  <w:style w:type="paragraph" w:styleId="Header">
    <w:name w:val="header"/>
    <w:basedOn w:val="Normal"/>
    <w:link w:val="HeaderChar"/>
    <w:uiPriority w:val="99"/>
    <w:unhideWhenUsed/>
    <w:rsid w:val="00B6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48"/>
  </w:style>
  <w:style w:type="paragraph" w:styleId="Footer">
    <w:name w:val="footer"/>
    <w:basedOn w:val="Normal"/>
    <w:link w:val="FooterChar"/>
    <w:uiPriority w:val="99"/>
    <w:unhideWhenUsed/>
    <w:rsid w:val="00B6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AE3"/>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7B0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04C8F"/>
    <w:pPr>
      <w:spacing w:before="100" w:beforeAutospacing="1" w:after="100" w:afterAutospacing="1" w:line="240" w:lineRule="auto"/>
    </w:pPr>
    <w:rPr>
      <w:rFonts w:eastAsia="Times New Roman" w:cs="Times New Roman"/>
      <w:sz w:val="24"/>
      <w:szCs w:val="24"/>
    </w:rPr>
  </w:style>
  <w:style w:type="character" w:customStyle="1" w:styleId="BodyText2Char">
    <w:name w:val="Body Text 2 Char"/>
    <w:basedOn w:val="DefaultParagraphFont"/>
    <w:link w:val="BodyText2"/>
    <w:rsid w:val="00F04C8F"/>
    <w:rPr>
      <w:rFonts w:eastAsia="Times New Roman" w:cs="Times New Roman"/>
      <w:sz w:val="24"/>
      <w:szCs w:val="24"/>
    </w:rPr>
  </w:style>
  <w:style w:type="paragraph" w:styleId="Header">
    <w:name w:val="header"/>
    <w:basedOn w:val="Normal"/>
    <w:link w:val="HeaderChar"/>
    <w:uiPriority w:val="99"/>
    <w:unhideWhenUsed/>
    <w:rsid w:val="00B6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48"/>
  </w:style>
  <w:style w:type="paragraph" w:styleId="Footer">
    <w:name w:val="footer"/>
    <w:basedOn w:val="Normal"/>
    <w:link w:val="FooterChar"/>
    <w:uiPriority w:val="99"/>
    <w:unhideWhenUsed/>
    <w:rsid w:val="00B6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638">
      <w:bodyDiv w:val="1"/>
      <w:marLeft w:val="0"/>
      <w:marRight w:val="0"/>
      <w:marTop w:val="0"/>
      <w:marBottom w:val="0"/>
      <w:divBdr>
        <w:top w:val="none" w:sz="0" w:space="0" w:color="auto"/>
        <w:left w:val="none" w:sz="0" w:space="0" w:color="auto"/>
        <w:bottom w:val="none" w:sz="0" w:space="0" w:color="auto"/>
        <w:right w:val="none" w:sz="0" w:space="0" w:color="auto"/>
      </w:divBdr>
    </w:div>
    <w:div w:id="173347648">
      <w:bodyDiv w:val="1"/>
      <w:marLeft w:val="0"/>
      <w:marRight w:val="0"/>
      <w:marTop w:val="0"/>
      <w:marBottom w:val="0"/>
      <w:divBdr>
        <w:top w:val="none" w:sz="0" w:space="0" w:color="auto"/>
        <w:left w:val="none" w:sz="0" w:space="0" w:color="auto"/>
        <w:bottom w:val="none" w:sz="0" w:space="0" w:color="auto"/>
        <w:right w:val="none" w:sz="0" w:space="0" w:color="auto"/>
      </w:divBdr>
    </w:div>
    <w:div w:id="795292300">
      <w:bodyDiv w:val="1"/>
      <w:marLeft w:val="0"/>
      <w:marRight w:val="0"/>
      <w:marTop w:val="0"/>
      <w:marBottom w:val="0"/>
      <w:divBdr>
        <w:top w:val="none" w:sz="0" w:space="0" w:color="auto"/>
        <w:left w:val="none" w:sz="0" w:space="0" w:color="auto"/>
        <w:bottom w:val="none" w:sz="0" w:space="0" w:color="auto"/>
        <w:right w:val="none" w:sz="0" w:space="0" w:color="auto"/>
      </w:divBdr>
    </w:div>
    <w:div w:id="1127115618">
      <w:bodyDiv w:val="1"/>
      <w:marLeft w:val="0"/>
      <w:marRight w:val="0"/>
      <w:marTop w:val="0"/>
      <w:marBottom w:val="0"/>
      <w:divBdr>
        <w:top w:val="none" w:sz="0" w:space="0" w:color="auto"/>
        <w:left w:val="none" w:sz="0" w:space="0" w:color="auto"/>
        <w:bottom w:val="none" w:sz="0" w:space="0" w:color="auto"/>
        <w:right w:val="none" w:sz="0" w:space="0" w:color="auto"/>
      </w:divBdr>
    </w:div>
    <w:div w:id="1174497330">
      <w:bodyDiv w:val="1"/>
      <w:marLeft w:val="0"/>
      <w:marRight w:val="0"/>
      <w:marTop w:val="0"/>
      <w:marBottom w:val="0"/>
      <w:divBdr>
        <w:top w:val="none" w:sz="0" w:space="0" w:color="auto"/>
        <w:left w:val="none" w:sz="0" w:space="0" w:color="auto"/>
        <w:bottom w:val="none" w:sz="0" w:space="0" w:color="auto"/>
        <w:right w:val="none" w:sz="0" w:space="0" w:color="auto"/>
      </w:divBdr>
    </w:div>
    <w:div w:id="1210805966">
      <w:bodyDiv w:val="1"/>
      <w:marLeft w:val="0"/>
      <w:marRight w:val="0"/>
      <w:marTop w:val="0"/>
      <w:marBottom w:val="0"/>
      <w:divBdr>
        <w:top w:val="none" w:sz="0" w:space="0" w:color="auto"/>
        <w:left w:val="none" w:sz="0" w:space="0" w:color="auto"/>
        <w:bottom w:val="none" w:sz="0" w:space="0" w:color="auto"/>
        <w:right w:val="none" w:sz="0" w:space="0" w:color="auto"/>
      </w:divBdr>
    </w:div>
    <w:div w:id="13238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F491-BBB6-4FCC-8B2D-72B2EB25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2022-06-17T01:01:00Z</dcterms:created>
  <dc:creator>MAC THANH  GIANG</dc:creator>
  <cp:lastModifiedBy>DINHTUAN</cp:lastModifiedBy>
  <dcterms:modified xsi:type="dcterms:W3CDTF">2022-06-17T03:11:00Z</dcterms:modified>
  <cp:revision>25</cp:revision>
  <dc:title>Phòng Văn xã - Ngoại vụ - UBND Tỉnh Ninh Thuận</dc:title>
</cp:coreProperties>
</file>